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BIOGRAFÍA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Nacimiento y primeras etapas</w:t>
        <w:br w:type="textWrapping"/>
      </w:r>
      <w:r w:rsidDel="00000000" w:rsidR="00000000" w:rsidRPr="00000000">
        <w:rPr>
          <w:rtl w:val="0"/>
        </w:rPr>
        <w:t xml:space="preserve"> Nació en Calatayud, en Aragón (España), el 16 de mayo de 1559. Quedó huérfano de padre a los siete años y fue acogido por su tío, Francisco López, prior de los carmelitas en Calatayud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Vocación y formación religiosa</w:t>
        <w:br w:type="textWrapping"/>
      </w:r>
      <w:r w:rsidDel="00000000" w:rsidR="00000000" w:rsidRPr="00000000">
        <w:rPr>
          <w:rtl w:val="0"/>
        </w:rPr>
        <w:t xml:space="preserve"> Entró en la orden del Carmelo en 1571 y emitió sus primeros votos a los dieciséis años. Posteriormente se unió a la reforma teresiana dentro del Carmelo descalzo, llevando entonces el nombre religioso de Domingo de Jesús María. Hizo su noviciado en Pastrana y profesó en 1590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Cargos dentro de la Orden del Carmelo</w:t>
        <w:br w:type="textWrapping"/>
      </w:r>
      <w:r w:rsidDel="00000000" w:rsidR="00000000" w:rsidRPr="00000000">
        <w:rPr>
          <w:rtl w:val="0"/>
        </w:rPr>
        <w:t xml:space="preserve"> Ocupó importantes posiciones: prior en Valencia (1594), Toledo (1599) y vicario provincial en Madrid (1601). Más adelante fue enviado a Roma, donde fue maestro de novicios, prior del convento de Santa Maria della Scala y definidor general. En 1614 fue fiscal general durante la beatificación de Santa Teresa de Ávila, y en 1615 fundó un asilo para mujeres en La Longara. Entre 1617 y 1620, lideró la orden como general, promoviendo también la fundación de un retiro eremita (desierto) cerca de Génova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Fundación del convento en Gante y últimos años</w:t>
        <w:br w:type="textWrapping"/>
      </w:r>
      <w:r w:rsidDel="00000000" w:rsidR="00000000" w:rsidRPr="00000000">
        <w:rPr>
          <w:rtl w:val="0"/>
        </w:rPr>
        <w:t xml:space="preserve"> En 1621, en Flandes bajo el dominio español, ayudó en la fundación de un convento en Gante, a solicitud de varias jóvenes doncellas que deseaban ingresar en la orden, intervención que logró mediante la aprobación de la archiduquesa Infanta Isabel</w:t>
        <w:br w:type="textWrapping"/>
        <w:br w:type="textWrapping"/>
        <w:t xml:space="preserve"> Más tarde, fue designado legado del papa Urbano VIII con la misión de mediar en el conflicto entre el emperador Fernando II y el duque de Mantua, en el contexto de la Guerra de Sucesión de Mantua. Falleció en Viena el 16 de febrero de 1630 mientras cumplía este encargo papal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Domingo_de_Jes%C3%BAs_Mar%C3%ADa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