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arget="word/document.xml" Type="http://schemas.openxmlformats.org/officeDocument/2006/relationships/officeDocument" /></ns0:Relationships>
</file>

<file path=word/document.xml><?xml version="1.0" encoding="utf-8"?>
<w:document xmlns:w="http://schemas.openxmlformats.org/wordprocessingml/2006/main">
  <w:body>
    <w:p>
      <w:pPr>
        <w:pStyle w:val="Title"/>
      </w:pPr>
      <w:r>
        <w:t>Effortrak Chatbot: Simple Cost Guide</w:t>
      </w:r>
    </w:p>
    <w:p>
      <w:pPr>
        <w:pStyle w:val="Normal"/>
      </w:pPr>
      <w:r>
        <w:t>For management | 27 October 2026 | All amounts in USD</w:t>
      </w:r>
    </w:p>
    <w:p>
      <w:pPr>
        <w:pStyle w:val="Heading1"/>
      </w:pPr>
      <w:r>
        <w:t>Quick Answer</w:t>
      </w:r>
    </w:p>
    <w:p>
      <w:pPr>
        <w:pStyle w:val="Normal"/>
      </w:pPr>
      <w:r>
        <w:t>If a company uses its full 100,000-token allowance, GPT-4.1 Mini costs $0.052 in the example below (about 5 US cents). To budget conservatively, allow up to $0.16 per company for those tokens. Taxes and hosting are extra.</w:t>
      </w:r>
    </w:p>
    <w:p>
      <w:pPr>
        <w:pStyle w:val="Normal"/>
      </w:pPr>
      <w:r>
        <w:t>"Free tokens" are free for your customer. Effortrak pays OpenAI for actual usage. Unused tokens cost nothing.</w:t>
      </w:r>
    </w:p>
    <w:p>
      <w:pPr>
        <w:pStyle w:val="Heading1"/>
      </w:pPr>
      <w:r>
        <w:t>What Is a Token?</w:t>
      </w:r>
    </w:p>
    <w:p>
      <w:pPr>
        <w:pStyle w:val="Normal"/>
      </w:pPr>
      <w:r>
        <w:t>A token is a small piece of text, not a question. One question can use thousands of tokens.</w:t>
      </w:r>
    </w:p>
    <w:tbl>
      <w:tblPr>
        <w:tblW w:w="9900" w:type="dxa"/>
        <w:tblLayout w:type="fixed"/>
        <w:tblBorders>
          <w:top w:val="single" w:sz="4" w:color="CDD8DA"/>
          <w:left w:val="single" w:sz="4" w:color="CDD8DA"/>
          <w:bottom w:val="single" w:sz="4" w:color="CDD8DA"/>
          <w:right w:val="single" w:sz="4" w:color="CDD8DA"/>
          <w:insideH w:val="single" w:sz="4" w:color="CDD8DA"/>
          <w:insideV w:val="single" w:sz="4" w:color="CDD8DA"/>
        </w:tblBorders>
      </w:tblPr>
      <w:tblGrid>
        <w:gridCol w:w="3300"/>
        <w:gridCol w:w="6600"/>
      </w:tblGrid>
      <w:tr>
        <w:trPr>
          <w:cantSplit/>
          <w:tblHeader/>
        </w:trPr>
        <w:tc>
          <w:tcPr>
            <w:tcW w:w="3300" w:type="dxa"/>
            <w:shd w:fill="E8F0F1"/>
          </w:tcPr>
          <w:p>
            <w:pPr>
              <w:pStyle w:val="Normal"/>
            </w:pPr>
            <w:r>
              <w:rPr>
                <w:b/>
              </w:rPr>
              <w:t>Token Type</w:t>
            </w:r>
          </w:p>
        </w:tc>
        <w:tc>
          <w:tcPr>
            <w:tcW w:w="6600" w:type="dxa"/>
            <w:shd w:fill="E8F0F1"/>
          </w:tcPr>
          <w:p>
            <w:pPr>
              <w:pStyle w:val="Normal"/>
            </w:pPr>
            <w:r>
              <w:rPr>
                <w:b/>
              </w:rPr>
              <w:t>Simple Meaning</w:t>
            </w:r>
          </w:p>
        </w:tc>
      </w:tr>
      <w:tr>
        <w:trPr>
          <w:cantSplit/>
        </w:trPr>
        <w:tc>
          <w:tcPr>
            <w:tcW w:w="3300" w:type="dxa"/>
          </w:tcPr>
          <w:p>
            <w:pPr>
              <w:pStyle w:val="Normal"/>
            </w:pPr>
            <w:r>
              <w:t>Input</w:t>
            </w:r>
          </w:p>
        </w:tc>
        <w:tc>
          <w:tcPr>
            <w:tcW w:w="6600" w:type="dxa"/>
          </w:tcPr>
          <w:p>
            <w:pPr>
              <w:pStyle w:val="Normal"/>
            </w:pPr>
            <w:r>
              <w:t>The question plus application instructions and context sent to OpenAI</w:t>
            </w:r>
          </w:p>
        </w:tc>
      </w:tr>
      <w:tr>
        <w:trPr>
          <w:cantSplit/>
        </w:trPr>
        <w:tc>
          <w:tcPr>
            <w:tcW w:w="3300" w:type="dxa"/>
          </w:tcPr>
          <w:p>
            <w:pPr>
              <w:pStyle w:val="Normal"/>
            </w:pPr>
            <w:r>
              <w:t>Output</w:t>
            </w:r>
          </w:p>
        </w:tc>
        <w:tc>
          <w:tcPr>
            <w:tcW w:w="6600" w:type="dxa"/>
          </w:tcPr>
          <w:p>
            <w:pPr>
              <w:pStyle w:val="Normal"/>
            </w:pPr>
            <w:r>
              <w:t>Text or structured selections returned by OpenAI</w:t>
            </w:r>
          </w:p>
        </w:tc>
      </w:tr>
      <w:tr>
        <w:trPr>
          <w:cantSplit/>
        </w:trPr>
        <w:tc>
          <w:tcPr>
            <w:tcW w:w="3300" w:type="dxa"/>
          </w:tcPr>
          <w:p>
            <w:pPr>
              <w:pStyle w:val="Normal"/>
            </w:pPr>
            <w:r>
              <w:t>Cached input</w:t>
            </w:r>
          </w:p>
        </w:tc>
        <w:tc>
          <w:tcPr>
            <w:tcW w:w="6600" w:type="dxa"/>
          </w:tcPr>
          <w:p>
            <w:pPr>
              <w:pStyle w:val="Normal"/>
            </w:pPr>
            <w:r>
              <w:t>Input eligible for a discounted reuse rate; not extra tokens</w:t>
            </w:r>
          </w:p>
        </w:tc>
      </w:tr>
    </w:tbl>
    <w:p>
      <w:pPr>
        <w:pStyle w:val="Normal"/>
      </w:pPr>
      <w:r>
        <w:t/>
      </w:r>
    </w:p>
    <w:p>
      <w:pPr>
        <w:pStyle w:val="Normal"/>
      </w:pPr>
      <w:r>
        <w:t>The allowance means input and output added together. Report text produced by our backend is not automatically OpenAI output.</w:t>
      </w:r>
    </w:p>
    <w:p>
      <w:pPr>
        <w:pStyle w:val="Heading1"/>
      </w:pPr>
      <w:r>
        <w:t>Which Questions Cost Money?</w:t>
      </w:r>
    </w:p>
    <w:tbl>
      <w:tblPr>
        <w:tblW w:w="9900" w:type="dxa"/>
        <w:tblLayout w:type="fixed"/>
        <w:tblBorders>
          <w:top w:val="single" w:sz="4" w:color="CDD8DA"/>
          <w:left w:val="single" w:sz="4" w:color="CDD8DA"/>
          <w:bottom w:val="single" w:sz="4" w:color="CDD8DA"/>
          <w:right w:val="single" w:sz="4" w:color="CDD8DA"/>
          <w:insideH w:val="single" w:sz="4" w:color="CDD8DA"/>
          <w:insideV w:val="single" w:sz="4" w:color="CDD8DA"/>
        </w:tblBorders>
      </w:tblPr>
      <w:tblGrid>
        <w:gridCol w:w="3300"/>
        <w:gridCol w:w="6600"/>
      </w:tblGrid>
      <w:tr>
        <w:trPr>
          <w:cantSplit/>
          <w:tblHeader/>
        </w:trPr>
        <w:tc>
          <w:tcPr>
            <w:tcW w:w="3300" w:type="dxa"/>
            <w:shd w:fill="E8F0F1"/>
          </w:tcPr>
          <w:p>
            <w:pPr>
              <w:pStyle w:val="Normal"/>
            </w:pPr>
            <w:r>
              <w:rPr>
                <w:b/>
              </w:rPr>
              <w:t>Request</w:t>
            </w:r>
          </w:p>
        </w:tc>
        <w:tc>
          <w:tcPr>
            <w:tcW w:w="6600" w:type="dxa"/>
            <w:shd w:fill="E8F0F1"/>
          </w:tcPr>
          <w:p>
            <w:pPr>
              <w:pStyle w:val="Normal"/>
            </w:pPr>
            <w:r>
              <w:rPr>
                <w:b/>
              </w:rPr>
              <w:t>OpenAI Cost</w:t>
            </w:r>
          </w:p>
        </w:tc>
      </w:tr>
      <w:tr>
        <w:trPr>
          <w:cantSplit/>
        </w:trPr>
        <w:tc>
          <w:tcPr>
            <w:tcW w:w="3300" w:type="dxa"/>
          </w:tcPr>
          <w:p>
            <w:pPr>
              <w:pStyle w:val="Normal"/>
            </w:pPr>
            <w:r>
              <w:t>Recognized help question: "How do I add an employee?"</w:t>
            </w:r>
          </w:p>
        </w:tc>
        <w:tc>
          <w:tcPr>
            <w:tcW w:w="6600" w:type="dxa"/>
          </w:tcPr>
          <w:p>
            <w:pPr>
              <w:pStyle w:val="Normal"/>
            </w:pPr>
            <w:r>
              <w:t>No OpenAI cost</w:t>
            </w:r>
          </w:p>
        </w:tc>
      </w:tr>
      <w:tr>
        <w:trPr>
          <w:cantSplit/>
        </w:trPr>
        <w:tc>
          <w:tcPr>
            <w:tcW w:w="3300" w:type="dxa"/>
          </w:tcPr>
          <w:p>
            <w:pPr>
              <w:pStyle w:val="Normal"/>
            </w:pPr>
            <w:r>
              <w:t>Unfamiliar help wording sent to the optional AI fallback</w:t>
            </w:r>
          </w:p>
        </w:tc>
        <w:tc>
          <w:tcPr>
            <w:tcW w:w="6600" w:type="dxa"/>
          </w:tcPr>
          <w:p>
            <w:pPr>
              <w:pStyle w:val="Normal"/>
            </w:pPr>
            <w:r>
              <w:t>Paid token usage</w:t>
            </w:r>
          </w:p>
        </w:tc>
      </w:tr>
      <w:tr>
        <w:trPr>
          <w:cantSplit/>
        </w:trPr>
        <w:tc>
          <w:tcPr>
            <w:tcW w:w="3300" w:type="dxa"/>
          </w:tcPr>
          <w:p>
            <w:pPr>
              <w:pStyle w:val="Normal"/>
            </w:pPr>
            <w:r>
              <w:t>Report or chart question interpreted by AI</w:t>
            </w:r>
          </w:p>
        </w:tc>
        <w:tc>
          <w:tcPr>
            <w:tcW w:w="6600" w:type="dxa"/>
          </w:tcPr>
          <w:p>
            <w:pPr>
              <w:pStyle w:val="Normal"/>
            </w:pPr>
            <w:r>
              <w:t>Paid token usage</w:t>
            </w:r>
          </w:p>
        </w:tc>
      </w:tr>
      <w:tr>
        <w:trPr>
          <w:cantSplit/>
        </w:trPr>
        <w:tc>
          <w:tcPr>
            <w:tcW w:w="3300" w:type="dxa"/>
          </w:tcPr>
          <w:p>
            <w:pPr>
              <w:pStyle w:val="Normal"/>
            </w:pPr>
            <w:r>
              <w:t>Simply enabling the chatbot for a company</w:t>
            </w:r>
          </w:p>
        </w:tc>
        <w:tc>
          <w:tcPr>
            <w:tcW w:w="6600" w:type="dxa"/>
          </w:tcPr>
          <w:p>
            <w:pPr>
              <w:pStyle w:val="Normal"/>
            </w:pPr>
            <w:r>
              <w:t>No usage cost by itself</w:t>
            </w:r>
          </w:p>
        </w:tc>
      </w:tr>
    </w:tbl>
    <w:p>
      <w:pPr>
        <w:pStyle w:val="Normal"/>
      </w:pPr>
      <w:r>
        <w:t/>
      </w:r>
    </w:p>
    <w:p>
      <w:pPr>
        <w:pStyle w:val="Normal"/>
      </w:pPr>
      <w:r>
        <w:t>Some requests are handled directly without OpenAI. There is no fixed charge per question.</w:t>
      </w:r>
    </w:p>
    <w:p>
      <w:pPr>
        <w:pStyle w:val="Heading1"/>
      </w:pPr>
      <w:r>
        <w:t>Model Pricing</w:t>
      </w:r>
    </w:p>
    <w:p>
      <w:pPr>
        <w:pStyle w:val="Normal"/>
      </w:pPr>
      <w:r>
        <w:t>Standard prices per 1 million tokens:</w:t>
      </w:r>
    </w:p>
    <w:tbl>
      <w:tblPr>
        <w:tblW w:w="9900" w:type="dxa"/>
        <w:tblLayout w:type="fixed"/>
        <w:tblBorders>
          <w:top w:val="single" w:sz="4" w:color="CDD8DA"/>
          <w:left w:val="single" w:sz="4" w:color="CDD8DA"/>
          <w:bottom w:val="single" w:sz="4" w:color="CDD8DA"/>
          <w:right w:val="single" w:sz="4" w:color="CDD8DA"/>
          <w:insideH w:val="single" w:sz="4" w:color="CDD8DA"/>
          <w:insideV w:val="single" w:sz="4" w:color="CDD8DA"/>
        </w:tblBorders>
      </w:tblPr>
      <w:tblGrid>
        <w:gridCol w:w="2475"/>
        <w:gridCol w:w="2475"/>
        <w:gridCol w:w="2475"/>
        <w:gridCol w:w="2475"/>
      </w:tblGrid>
      <w:tr>
        <w:trPr>
          <w:cantSplit/>
          <w:tblHeader/>
        </w:trPr>
        <w:tc>
          <w:tcPr>
            <w:tcW w:w="2475" w:type="dxa"/>
            <w:shd w:fill="E8F0F1"/>
          </w:tcPr>
          <w:p>
            <w:pPr>
              <w:pStyle w:val="Normal"/>
            </w:pPr>
            <w:r>
              <w:rPr>
                <w:b/>
              </w:rPr>
              <w:t>Model</w:t>
            </w:r>
          </w:p>
        </w:tc>
        <w:tc>
          <w:tcPr>
            <w:tcW w:w="2475" w:type="dxa"/>
            <w:shd w:fill="E8F0F1"/>
          </w:tcPr>
          <w:p>
            <w:pPr>
              <w:pStyle w:val="Normal"/>
            </w:pPr>
            <w:r>
              <w:rPr>
                <w:b/>
              </w:rPr>
              <w:t>Input</w:t>
            </w:r>
          </w:p>
        </w:tc>
        <w:tc>
          <w:tcPr>
            <w:tcW w:w="2475" w:type="dxa"/>
            <w:shd w:fill="E8F0F1"/>
          </w:tcPr>
          <w:p>
            <w:pPr>
              <w:pStyle w:val="Normal"/>
            </w:pPr>
            <w:r>
              <w:rPr>
                <w:b/>
              </w:rPr>
              <w:t>Cached Input</w:t>
            </w:r>
          </w:p>
        </w:tc>
        <w:tc>
          <w:tcPr>
            <w:tcW w:w="2475" w:type="dxa"/>
            <w:shd w:fill="E8F0F1"/>
          </w:tcPr>
          <w:p>
            <w:pPr>
              <w:pStyle w:val="Normal"/>
            </w:pPr>
            <w:r>
              <w:rPr>
                <w:b/>
              </w:rPr>
              <w:t>Output</w:t>
            </w:r>
          </w:p>
        </w:tc>
      </w:tr>
      <w:tr>
        <w:trPr>
          <w:cantSplit/>
        </w:trPr>
        <w:tc>
          <w:tcPr>
            <w:tcW w:w="2475" w:type="dxa"/>
          </w:tcPr>
          <w:p>
            <w:pPr>
              <w:pStyle w:val="Normal"/>
            </w:pPr>
            <w:r>
              <w:t>GPT-4.1 Mini</w:t>
            </w:r>
          </w:p>
        </w:tc>
        <w:tc>
          <w:tcPr>
            <w:tcW w:w="2475" w:type="dxa"/>
          </w:tcPr>
          <w:p>
            <w:pPr>
              <w:pStyle w:val="Normal"/>
            </w:pPr>
            <w:r>
              <w:t>$0.40</w:t>
            </w:r>
          </w:p>
        </w:tc>
        <w:tc>
          <w:tcPr>
            <w:tcW w:w="2475" w:type="dxa"/>
          </w:tcPr>
          <w:p>
            <w:pPr>
              <w:pStyle w:val="Normal"/>
            </w:pPr>
            <w:r>
              <w:t>$0.10</w:t>
            </w:r>
          </w:p>
        </w:tc>
        <w:tc>
          <w:tcPr>
            <w:tcW w:w="2475" w:type="dxa"/>
          </w:tcPr>
          <w:p>
            <w:pPr>
              <w:pStyle w:val="Normal"/>
            </w:pPr>
            <w:r>
              <w:t>$1.60</w:t>
            </w:r>
          </w:p>
        </w:tc>
      </w:tr>
      <w:tr>
        <w:trPr>
          <w:cantSplit/>
        </w:trPr>
        <w:tc>
          <w:tcPr>
            <w:tcW w:w="2475" w:type="dxa"/>
          </w:tcPr>
          <w:p>
            <w:pPr>
              <w:pStyle w:val="Normal"/>
            </w:pPr>
            <w:r>
              <w:t>GPT-4.1</w:t>
            </w:r>
          </w:p>
        </w:tc>
        <w:tc>
          <w:tcPr>
            <w:tcW w:w="2475" w:type="dxa"/>
          </w:tcPr>
          <w:p>
            <w:pPr>
              <w:pStyle w:val="Normal"/>
            </w:pPr>
            <w:r>
              <w:t>$2.00</w:t>
            </w:r>
          </w:p>
        </w:tc>
        <w:tc>
          <w:tcPr>
            <w:tcW w:w="2475" w:type="dxa"/>
          </w:tcPr>
          <w:p>
            <w:pPr>
              <w:pStyle w:val="Normal"/>
            </w:pPr>
            <w:r>
              <w:t>$0.50</w:t>
            </w:r>
          </w:p>
        </w:tc>
        <w:tc>
          <w:tcPr>
            <w:tcW w:w="2475" w:type="dxa"/>
          </w:tcPr>
          <w:p>
            <w:pPr>
              <w:pStyle w:val="Normal"/>
            </w:pPr>
            <w:r>
              <w:t>$8.00</w:t>
            </w:r>
          </w:p>
        </w:tc>
      </w:tr>
    </w:tbl>
    <w:p>
      <w:pPr>
        <w:pStyle w:val="Normal"/>
      </w:pPr>
      <w:r>
        <w:t/>
      </w:r>
    </w:p>
    <w:p>
      <w:pPr>
        <w:pStyle w:val="Normal"/>
      </w:pPr>
      <w:r>
        <w:t>GPT-4.1 costs five times more for the same token usage and caching. Example: 3,000 input + 200 output tokens cost $0.00152 on Mini or $0.00760 on GPT-4.1, without caching. This is an example, not a measured customer average.</w:t>
      </w:r>
    </w:p>
    <w:p>
      <w:pPr>
        <w:pStyle w:val="Heading1"/>
      </w:pPr>
      <w:r>
        <w:t>Cost of 100,000 Tokens per Company</w:t>
      </w:r>
    </w:p>
    <w:p>
      <w:pPr>
        <w:pStyle w:val="Normal"/>
      </w:pPr>
      <w:r>
        <w:t>These examples assume the company uses all 100,000 tokens, with no caching discount.</w:t>
      </w:r>
    </w:p>
    <w:tbl>
      <w:tblPr>
        <w:tblW w:w="9900" w:type="dxa"/>
        <w:tblLayout w:type="fixed"/>
        <w:tblBorders>
          <w:top w:val="single" w:sz="4" w:color="CDD8DA"/>
          <w:left w:val="single" w:sz="4" w:color="CDD8DA"/>
          <w:bottom w:val="single" w:sz="4" w:color="CDD8DA"/>
          <w:right w:val="single" w:sz="4" w:color="CDD8DA"/>
          <w:insideH w:val="single" w:sz="4" w:color="CDD8DA"/>
          <w:insideV w:val="single" w:sz="4" w:color="CDD8DA"/>
        </w:tblBorders>
      </w:tblPr>
      <w:tblGrid>
        <w:gridCol w:w="2475"/>
        <w:gridCol w:w="2475"/>
        <w:gridCol w:w="2475"/>
        <w:gridCol w:w="2475"/>
      </w:tblGrid>
      <w:tr>
        <w:trPr>
          <w:cantSplit/>
          <w:tblHeader/>
        </w:trPr>
        <w:tc>
          <w:tcPr>
            <w:tcW w:w="2475" w:type="dxa"/>
            <w:shd w:fill="E8F0F1"/>
          </w:tcPr>
          <w:p>
            <w:pPr>
              <w:pStyle w:val="Normal"/>
            </w:pPr>
            <w:r>
              <w:rPr>
                <w:b/>
              </w:rPr>
              <w:t>Input Tokens</w:t>
            </w:r>
          </w:p>
        </w:tc>
        <w:tc>
          <w:tcPr>
            <w:tcW w:w="2475" w:type="dxa"/>
            <w:shd w:fill="E8F0F1"/>
          </w:tcPr>
          <w:p>
            <w:pPr>
              <w:pStyle w:val="Normal"/>
            </w:pPr>
            <w:r>
              <w:rPr>
                <w:b/>
              </w:rPr>
              <w:t>Output Tokens</w:t>
            </w:r>
          </w:p>
        </w:tc>
        <w:tc>
          <w:tcPr>
            <w:tcW w:w="2475" w:type="dxa"/>
            <w:shd w:fill="E8F0F1"/>
          </w:tcPr>
          <w:p>
            <w:pPr>
              <w:pStyle w:val="Normal"/>
            </w:pPr>
            <w:r>
              <w:rPr>
                <w:b/>
              </w:rPr>
              <w:t>GPT-4.1 Mini</w:t>
            </w:r>
          </w:p>
        </w:tc>
        <w:tc>
          <w:tcPr>
            <w:tcW w:w="2475" w:type="dxa"/>
            <w:shd w:fill="E8F0F1"/>
          </w:tcPr>
          <w:p>
            <w:pPr>
              <w:pStyle w:val="Normal"/>
            </w:pPr>
            <w:r>
              <w:rPr>
                <w:b/>
              </w:rPr>
              <w:t>GPT-4.1</w:t>
            </w:r>
          </w:p>
        </w:tc>
      </w:tr>
      <w:tr>
        <w:trPr>
          <w:cantSplit/>
        </w:trPr>
        <w:tc>
          <w:tcPr>
            <w:tcW w:w="2475" w:type="dxa"/>
          </w:tcPr>
          <w:p>
            <w:pPr>
              <w:pStyle w:val="Normal"/>
            </w:pPr>
            <w:r>
              <w:t>100,000</w:t>
            </w:r>
          </w:p>
        </w:tc>
        <w:tc>
          <w:tcPr>
            <w:tcW w:w="2475" w:type="dxa"/>
          </w:tcPr>
          <w:p>
            <w:pPr>
              <w:pStyle w:val="Normal"/>
            </w:pPr>
            <w:r>
              <w:t>0</w:t>
            </w:r>
          </w:p>
        </w:tc>
        <w:tc>
          <w:tcPr>
            <w:tcW w:w="2475" w:type="dxa"/>
          </w:tcPr>
          <w:p>
            <w:pPr>
              <w:pStyle w:val="Normal"/>
            </w:pPr>
            <w:r>
              <w:t>$0.040</w:t>
            </w:r>
          </w:p>
        </w:tc>
        <w:tc>
          <w:tcPr>
            <w:tcW w:w="2475" w:type="dxa"/>
          </w:tcPr>
          <w:p>
            <w:pPr>
              <w:pStyle w:val="Normal"/>
            </w:pPr>
            <w:r>
              <w:t>$0.200</w:t>
            </w:r>
          </w:p>
        </w:tc>
      </w:tr>
      <w:tr>
        <w:trPr>
          <w:cantSplit/>
        </w:trPr>
        <w:tc>
          <w:tcPr>
            <w:tcW w:w="2475" w:type="dxa"/>
          </w:tcPr>
          <w:p>
            <w:pPr>
              <w:pStyle w:val="Normal"/>
            </w:pPr>
            <w:r>
              <w:t>90,000</w:t>
            </w:r>
          </w:p>
        </w:tc>
        <w:tc>
          <w:tcPr>
            <w:tcW w:w="2475" w:type="dxa"/>
          </w:tcPr>
          <w:p>
            <w:pPr>
              <w:pStyle w:val="Normal"/>
            </w:pPr>
            <w:r>
              <w:t>10,000</w:t>
            </w:r>
          </w:p>
        </w:tc>
        <w:tc>
          <w:tcPr>
            <w:tcW w:w="2475" w:type="dxa"/>
          </w:tcPr>
          <w:p>
            <w:pPr>
              <w:pStyle w:val="Normal"/>
            </w:pPr>
            <w:r>
              <w:t>$0.052</w:t>
            </w:r>
          </w:p>
        </w:tc>
        <w:tc>
          <w:tcPr>
            <w:tcW w:w="2475" w:type="dxa"/>
          </w:tcPr>
          <w:p>
            <w:pPr>
              <w:pStyle w:val="Normal"/>
            </w:pPr>
            <w:r>
              <w:t>$0.260</w:t>
            </w:r>
          </w:p>
        </w:tc>
      </w:tr>
      <w:tr>
        <w:trPr>
          <w:cantSplit/>
        </w:trPr>
        <w:tc>
          <w:tcPr>
            <w:tcW w:w="2475" w:type="dxa"/>
          </w:tcPr>
          <w:p>
            <w:pPr>
              <w:pStyle w:val="Normal"/>
            </w:pPr>
            <w:r>
              <w:t>80,000</w:t>
            </w:r>
          </w:p>
        </w:tc>
        <w:tc>
          <w:tcPr>
            <w:tcW w:w="2475" w:type="dxa"/>
          </w:tcPr>
          <w:p>
            <w:pPr>
              <w:pStyle w:val="Normal"/>
            </w:pPr>
            <w:r>
              <w:t>20,000</w:t>
            </w:r>
          </w:p>
        </w:tc>
        <w:tc>
          <w:tcPr>
            <w:tcW w:w="2475" w:type="dxa"/>
          </w:tcPr>
          <w:p>
            <w:pPr>
              <w:pStyle w:val="Normal"/>
            </w:pPr>
            <w:r>
              <w:t>$0.064</w:t>
            </w:r>
          </w:p>
        </w:tc>
        <w:tc>
          <w:tcPr>
            <w:tcW w:w="2475" w:type="dxa"/>
          </w:tcPr>
          <w:p>
            <w:pPr>
              <w:pStyle w:val="Normal"/>
            </w:pPr>
            <w:r>
              <w:t>$0.320</w:t>
            </w:r>
          </w:p>
        </w:tc>
      </w:tr>
      <w:tr>
        <w:trPr>
          <w:cantSplit/>
        </w:trPr>
        <w:tc>
          <w:tcPr>
            <w:tcW w:w="2475" w:type="dxa"/>
          </w:tcPr>
          <w:p>
            <w:pPr>
              <w:pStyle w:val="Normal"/>
            </w:pPr>
            <w:r>
              <w:t>0</w:t>
            </w:r>
          </w:p>
        </w:tc>
        <w:tc>
          <w:tcPr>
            <w:tcW w:w="2475" w:type="dxa"/>
          </w:tcPr>
          <w:p>
            <w:pPr>
              <w:pStyle w:val="Normal"/>
            </w:pPr>
            <w:r>
              <w:t>100,000</w:t>
            </w:r>
          </w:p>
        </w:tc>
        <w:tc>
          <w:tcPr>
            <w:tcW w:w="2475" w:type="dxa"/>
          </w:tcPr>
          <w:p>
            <w:pPr>
              <w:pStyle w:val="Normal"/>
            </w:pPr>
            <w:r>
              <w:t>$0.160</w:t>
            </w:r>
          </w:p>
        </w:tc>
        <w:tc>
          <w:tcPr>
            <w:tcW w:w="2475" w:type="dxa"/>
          </w:tcPr>
          <w:p>
            <w:pPr>
              <w:pStyle w:val="Normal"/>
            </w:pPr>
            <w:r>
              <w:t>$0.800</w:t>
            </w:r>
          </w:p>
        </w:tc>
      </w:tr>
    </w:tbl>
    <w:p>
      <w:pPr>
        <w:pStyle w:val="Normal"/>
      </w:pPr>
      <w:r>
        <w:t/>
      </w:r>
    </w:p>
    <w:p>
      <w:pPr>
        <w:pStyle w:val="Normal"/>
      </w:pPr>
      <w:r>
        <w:t>The last row is a conservative maximum: it prices every token at the more expensive output rate. This is a budgeting limit, not normal usage. Caching discounts may reduce the bill.</w:t>
      </w:r>
    </w:p>
    <w:p>
      <w:pPr>
        <w:pStyle w:val="Heading1"/>
      </w:pPr>
      <w:r>
        <w:t>Monthly Budget</w:t>
      </w:r>
    </w:p>
    <w:p>
      <w:pPr>
        <w:pStyle w:val="Normal"/>
      </w:pPr>
      <w:r>
        <w:t>Assume each company uses all 100,000 tokens every month. The example columns use 90,000 input + 10,000 output per company.</w:t>
      </w:r>
    </w:p>
    <w:tbl>
      <w:tblPr>
        <w:tblW w:w="9900" w:type="dxa"/>
        <w:tblLayout w:type="fixed"/>
        <w:tblBorders>
          <w:top w:val="single" w:sz="4" w:color="CDD8DA"/>
          <w:left w:val="single" w:sz="4" w:color="CDD8DA"/>
          <w:bottom w:val="single" w:sz="4" w:color="CDD8DA"/>
          <w:right w:val="single" w:sz="4" w:color="CDD8DA"/>
          <w:insideH w:val="single" w:sz="4" w:color="CDD8DA"/>
          <w:insideV w:val="single" w:sz="4" w:color="CDD8DA"/>
        </w:tblBorders>
      </w:tblPr>
      <w:tblGrid>
        <w:gridCol w:w="2475"/>
        <w:gridCol w:w="2475"/>
        <w:gridCol w:w="2475"/>
        <w:gridCol w:w="2475"/>
      </w:tblGrid>
      <w:tr>
        <w:trPr>
          <w:cantSplit/>
          <w:tblHeader/>
        </w:trPr>
        <w:tc>
          <w:tcPr>
            <w:tcW w:w="2475" w:type="dxa"/>
            <w:shd w:fill="E8F0F1"/>
          </w:tcPr>
          <w:p>
            <w:pPr>
              <w:pStyle w:val="Normal"/>
            </w:pPr>
            <w:r>
              <w:rPr>
                <w:b/>
              </w:rPr>
              <w:t>Companies</w:t>
            </w:r>
          </w:p>
        </w:tc>
        <w:tc>
          <w:tcPr>
            <w:tcW w:w="2475" w:type="dxa"/>
            <w:shd w:fill="E8F0F1"/>
          </w:tcPr>
          <w:p>
            <w:pPr>
              <w:pStyle w:val="Normal"/>
            </w:pPr>
            <w:r>
              <w:rPr>
                <w:b/>
              </w:rPr>
              <w:t>Mini Example</w:t>
            </w:r>
          </w:p>
        </w:tc>
        <w:tc>
          <w:tcPr>
            <w:tcW w:w="2475" w:type="dxa"/>
            <w:shd w:fill="E8F0F1"/>
          </w:tcPr>
          <w:p>
            <w:pPr>
              <w:pStyle w:val="Normal"/>
            </w:pPr>
            <w:r>
              <w:rPr>
                <w:b/>
              </w:rPr>
              <w:t>GPT-4.1 Example</w:t>
            </w:r>
          </w:p>
        </w:tc>
        <w:tc>
          <w:tcPr>
            <w:tcW w:w="2475" w:type="dxa"/>
            <w:shd w:fill="E8F0F1"/>
          </w:tcPr>
          <w:p>
            <w:pPr>
              <w:pStyle w:val="Normal"/>
            </w:pPr>
            <w:r>
              <w:rPr>
                <w:b/>
              </w:rPr>
              <w:t>Mini Maximum</w:t>
            </w:r>
          </w:p>
        </w:tc>
      </w:tr>
      <w:tr>
        <w:trPr>
          <w:cantSplit/>
        </w:trPr>
        <w:tc>
          <w:tcPr>
            <w:tcW w:w="2475" w:type="dxa"/>
          </w:tcPr>
          <w:p>
            <w:pPr>
              <w:pStyle w:val="Normal"/>
            </w:pPr>
            <w:r>
              <w:t>100</w:t>
            </w:r>
          </w:p>
        </w:tc>
        <w:tc>
          <w:tcPr>
            <w:tcW w:w="2475" w:type="dxa"/>
          </w:tcPr>
          <w:p>
            <w:pPr>
              <w:pStyle w:val="Normal"/>
            </w:pPr>
            <w:r>
              <w:t>$5.20</w:t>
            </w:r>
          </w:p>
        </w:tc>
        <w:tc>
          <w:tcPr>
            <w:tcW w:w="2475" w:type="dxa"/>
          </w:tcPr>
          <w:p>
            <w:pPr>
              <w:pStyle w:val="Normal"/>
            </w:pPr>
            <w:r>
              <w:t>$26.00</w:t>
            </w:r>
          </w:p>
        </w:tc>
        <w:tc>
          <w:tcPr>
            <w:tcW w:w="2475" w:type="dxa"/>
          </w:tcPr>
          <w:p>
            <w:pPr>
              <w:pStyle w:val="Normal"/>
            </w:pPr>
            <w:r>
              <w:t>$16.00</w:t>
            </w:r>
          </w:p>
        </w:tc>
      </w:tr>
      <w:tr>
        <w:trPr>
          <w:cantSplit/>
        </w:trPr>
        <w:tc>
          <w:tcPr>
            <w:tcW w:w="2475" w:type="dxa"/>
          </w:tcPr>
          <w:p>
            <w:pPr>
              <w:pStyle w:val="Normal"/>
            </w:pPr>
            <w:r>
              <w:t>1,000</w:t>
            </w:r>
          </w:p>
        </w:tc>
        <w:tc>
          <w:tcPr>
            <w:tcW w:w="2475" w:type="dxa"/>
          </w:tcPr>
          <w:p>
            <w:pPr>
              <w:pStyle w:val="Normal"/>
            </w:pPr>
            <w:r>
              <w:t>$52.00</w:t>
            </w:r>
          </w:p>
        </w:tc>
        <w:tc>
          <w:tcPr>
            <w:tcW w:w="2475" w:type="dxa"/>
          </w:tcPr>
          <w:p>
            <w:pPr>
              <w:pStyle w:val="Normal"/>
            </w:pPr>
            <w:r>
              <w:t>$260.00</w:t>
            </w:r>
          </w:p>
        </w:tc>
        <w:tc>
          <w:tcPr>
            <w:tcW w:w="2475" w:type="dxa"/>
          </w:tcPr>
          <w:p>
            <w:pPr>
              <w:pStyle w:val="Normal"/>
            </w:pPr>
            <w:r>
              <w:t>$160.00</w:t>
            </w:r>
          </w:p>
        </w:tc>
      </w:tr>
      <w:tr>
        <w:trPr>
          <w:cantSplit/>
        </w:trPr>
        <w:tc>
          <w:tcPr>
            <w:tcW w:w="2475" w:type="dxa"/>
          </w:tcPr>
          <w:p>
            <w:pPr>
              <w:pStyle w:val="Normal"/>
            </w:pPr>
            <w:r>
              <w:t>10,000</w:t>
            </w:r>
          </w:p>
        </w:tc>
        <w:tc>
          <w:tcPr>
            <w:tcW w:w="2475" w:type="dxa"/>
          </w:tcPr>
          <w:p>
            <w:pPr>
              <w:pStyle w:val="Normal"/>
            </w:pPr>
            <w:r>
              <w:t>$520.00</w:t>
            </w:r>
          </w:p>
        </w:tc>
        <w:tc>
          <w:tcPr>
            <w:tcW w:w="2475" w:type="dxa"/>
          </w:tcPr>
          <w:p>
            <w:pPr>
              <w:pStyle w:val="Normal"/>
            </w:pPr>
            <w:r>
              <w:t>$2,600.00</w:t>
            </w:r>
          </w:p>
        </w:tc>
        <w:tc>
          <w:tcPr>
            <w:tcW w:w="2475" w:type="dxa"/>
          </w:tcPr>
          <w:p>
            <w:pPr>
              <w:pStyle w:val="Normal"/>
            </w:pPr>
            <w:r>
              <w:t>$1,600.00</w:t>
            </w:r>
          </w:p>
        </w:tc>
      </w:tr>
    </w:tbl>
    <w:p>
      <w:pPr>
        <w:pStyle w:val="Normal"/>
      </w:pPr>
      <w:r>
        <w:t/>
      </w:r>
    </w:p>
    <w:p>
      <w:pPr>
        <w:pStyle w:val="Normal"/>
      </w:pPr>
      <w:r>
        <w:t>The Mini maximum column uses the more expensive output rate for every token. Actual costs depend on usage.</w:t>
      </w:r>
    </w:p>
    <w:p>
      <w:pPr>
        <w:pStyle w:val="Normal"/>
      </w:pPr>
      <w:r>
        <w:t>How many questions does this cover? At 3,200 tokens per paid question, 100,000 tokens cover about 31 questions. Actual usage varies, and one question may make multiple AI calls. Recognized help answers do not use the allowance.</w:t>
      </w:r>
    </w:p>
    <w:p>
      <w:pPr>
        <w:pStyle w:val="Heading1"/>
      </w:pPr>
      <w:r>
        <w:t>Is the Larger Model Better?</w:t>
      </w:r>
    </w:p>
    <w:p>
      <w:pPr>
        <w:pStyle w:val="Normal"/>
      </w:pPr>
      <w:r>
        <w:t>A larger model may understand difficult questions better. It cannot fix missing data, incorrect calculations or access permissions. Test real customer questions before upgrading, and confirm the model works with the application.</w:t>
      </w:r>
    </w:p>
    <w:p>
      <w:pPr>
        <w:pStyle w:val="Heading1"/>
      </w:pPr>
      <w:r>
        <w:t>Recommendation</w:t>
      </w:r>
    </w:p>
    <w:p>
      <w:pPr>
        <w:pStyle w:val="Normal"/>
      </w:pPr>
      <w:r>
        <w:t>Start with Mini and a 100,000-token monthly allowance per company. Enforce the limit and measure actual costs before expanding. This is a proposal; this document does not change application settings.</w:t>
      </w:r>
    </w:p>
    <w:p>
      <w:pPr>
        <w:pStyle w:val="Normal"/>
      </w:pPr>
      <w:r>
        <w:t>All estimates exclude hosting, taxes, exchange-rate changes and payment fees. Prices and model availability can change. If usage beyond the allowance is allowed, it adds cost. The maximums above cover only the stated model tokens, not other paid services.</w:t>
      </w:r>
    </w:p>
    <w:p>
      <w:pPr>
        <w:pStyle w:val="Heading1"/>
      </w:pPr>
      <w:r>
        <w:t>Official Sources</w:t>
      </w:r>
    </w:p>
    <w:p>
      <w:pPr>
        <w:pStyle w:val="Normal"/>
      </w:pPr>
      <w:r>
        <w:t>- GPT-4.1 Mini: https://developers.openai.com/api/docs/models/gpt-4.1-mini</w:t>
      </w:r>
    </w:p>
    <w:p>
      <w:pPr>
        <w:pStyle w:val="Normal"/>
      </w:pPr>
      <w:r>
        <w:t>- GPT-4.1: https://developers.openai.com/api/docs/models/gpt-4.1</w:t>
      </w:r>
    </w:p>
    <w:sectPr>
      <w:pgSz w:w="11906" w:h="16838"/>
      <w:pgMar w:top="720" w:right="1003" w:bottom="840" w:left="1003" w:header="360" w:footer="360" w:gutter="0"/>
    </w:sectPr>
  </w:body>
</w:document>
</file>

<file path=word/styles.xml><?xml version="1.0" encoding="utf-8"?>
<w:styles xmlns:w="http://schemas.openxmlformats.org/wordprocessingml/2006/main">
  <w:docDefaults>
    <w:rPrDefault>
      <w:rPr>
        <w:rFonts w:ascii="Arial" w:hAnsi="Arial"/>
        <w:sz w:val="20"/>
      </w:rPr>
    </w:rPrDefault>
    <w:pPrDefault>
      <w:pPr>
        <w:spacing w:after="120" w:line="276" w:lineRule="auto"/>
      </w:pPr>
    </w:pPrDefault>
  </w:docDefaults>
  <w:style w:type="paragraph" w:styleId="Normal">
    <w:name w:val="Normal"/>
    <w:rPr>
      <w:sz w:val="20"/>
    </w:rPr>
  </w:style>
  <w:style w:type="paragraph" w:styleId="Title">
    <w:name w:val="Title"/>
    <w:basedOn w:val="Normal"/>
    <w:pPr>
      <w:keepNext/>
    </w:pPr>
    <w:rPr>
      <w:sz w:val="36"/>
      <w:b/>
    </w:rPr>
  </w:style>
  <w:style w:type="paragraph" w:styleId="Heading1">
    <w:name w:val="Heading1"/>
    <w:basedOn w:val="Normal"/>
    <w:pPr>
      <w:keepNext/>
    </w:pPr>
    <w:rPr>
      <w:sz w:val="24"/>
      <w:b/>
    </w:rPr>
  </w:style>
</w:styles>
</file>

<file path=word/_rels/document.xml.rels><?xml version='1.0' encoding='utf-8'?>
<ns0:Relationships xmlns:ns0="http://schemas.openxmlformats.org/package/2006/relationships"><ns0:Relationship Id="rId1" Target="styles.xml" Type="http://schemas.openxmlformats.org/officeDocument/2006/relationships/styles" /></ns0:Relationships>
</file>