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預設值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企業合約測試資料庫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(30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TW" w:eastAsia="zh-TW"/>
        </w:rPr>
        <w:t>條精選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你可以將這些內容直接加入你的</w:t>
      </w:r>
      <w:r>
        <w:rPr>
          <w:rFonts w:ascii="Times Roman" w:hAnsi="Times Roman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setup_database.py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或是存成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Word/PDF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檔讓系統讀取。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第一類：勞動權益與福利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(HR &amp; Labor)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測試重點：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能否理解福利條件、計算工時與休假規則。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混合辦公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：本公司採行混合辦公制，員工每週二、四得申請居家辦公，惟需經直屬主管核准。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特休假遞延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：當年度未休畢之特別休假，得經勞資雙方協議遞延至次一年度，次年度終結仍未休畢者，應折算工資發給。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彈性工時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：核心工作時間為上午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10:00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至下午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4:00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，其餘時間員工得依業務需求彈性調整，每日需做滿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8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小時。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試用期評核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：新進員工試用期為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個月，若表現未達預期，公司得延長試用期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個月，或依勞基法終止勞動契約。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加班費計算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：平日加班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小時以內者，按平日每小時工資額加給三分之一以上；再延長工作時間者，按平日每小時工資額加給三分之二以上。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競業禁止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：員工於離職後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個月內，不得至與本公司業務相同或具競爭關係之企業任職，公司將按月支付半薪作為補償。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💰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第二類：商業交易與付款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(Commercial &amp; Payment)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測試重點：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對數字（天數、金額、百分比）的抓取能力。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標準付款條件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：甲方應於收到乙方發票且驗收無誤後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45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天內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(Net 45)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，以電匯方式支付款項。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預付款條款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：合約簽署後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日內，甲方應支付合約總金額之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30%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作為預付款，乙方始得開始執行專案。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逾期利息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：若甲方逾期付款，每逾一日應按未付款項之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0.1%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支付遲延利息，上限為合約總金額之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5%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匯率約定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：本合約所有款項以美金計價，若以新台幣支付，應依付款當日台灣銀行即期賣出匯率換算。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發票開立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：乙方應於每月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25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日前開立當月服務費之三聯式統一發票，並掛號寄達甲方財務部。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稅務負擔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：本合約所載金額均為未稅價，營業稅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(VAT)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由甲方另行負擔；若有扣繳稅款需求，由甲方依法代扣。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第三類：保密與資料安全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(Confidentiality &amp; Security)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測試重點：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能否識別時間範圍、除外條款與懲罰性賠償。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保密期限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：保密義務於合約期間及合約終止後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年內持續有效，不因合約解除或終止而失效。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機密定義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：機密資訊包含但不限於客戶名單、定價策略、程式碼源碼、技術藍圖及財務報表。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資料銷毀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：專案結束後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 xml:space="preserve">7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日內，接收方應銷毀或返還所有揭露方之機密資訊，並出具書面銷毀證明。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除外條款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：若機密資訊於揭露時已為公眾所知，或接收方能證明係由第三方合法取得，則不在此限。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個資保護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：乙方處理甲方交付之個人資料時，應符合歐盟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GDPR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及台灣個人資料保護法之規範。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定額違約金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：若違反保密義務，違約方應支付懲罰性違約金新台幣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萬元整，並賠償損害。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第四類：違約責任與管轄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(Liability &amp; Dispute)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測試重點：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對法律術語、賠償上限、法院管轄的理解。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賠償上限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：除故意或重大過失外，任一方對他方之損害賠償責任，以本合約過去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個月實付總金額為上限。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不可抗力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：因天災、戰爭、罷工或政府法令變更等不可抗力因素致無法履約時，雙方互不負違約責任。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合約終止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：任一方若有重大違約情事，經他方書面通知後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30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日內仍未改善者，他方得逕行終止合約。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管轄法院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：本合約之解釋與適用以中華民國法律為準據法，如有爭議，雙方同意以台灣台北地方法院為第一審管轄法院。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連帶責任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：乙方若將部分業務轉包予第三方，乙方應就該第三方之行為對甲方負完全連帶責任。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權利保留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：任一方未行使或延遲行使本合約之權利，不視為放棄該權利，亦不影響未來行使該權利之效力。</w:t>
      </w:r>
    </w:p>
    <w:p>
      <w:pPr>
        <w:pStyle w:val="預設值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第五類：智慧財產權與驗收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(IP &amp; Acceptance)</w:t>
      </w:r>
    </w:p>
    <w:p>
      <w:pPr>
        <w:pStyle w:val="預設值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測試重點：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能否區分所有權歸屬、驗收標準。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職務著作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：乙方於執行本專案期間所產出之所有程式碼、文件及設計圖稿，其智慧財產權歸屬於甲方所有。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著作人格權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：乙方承諾對甲方及其授權之人不行使著作人格權。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侵權擔保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：乙方保證交付之成果無侵害他人智慧財產權之情事，若有侵權致甲方受損，乙方應負完全賠償責任。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驗收標準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：交付之軟體需通過壓力測試（同時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1000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人在線不崩潰）及無重大資安漏洞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(Critical Severity)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，始視為驗收合格。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保固期限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：自驗收合格次日起，乙方應提供為期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個月之免費保固服務，負責修復非人為因素造成之程式錯誤。</w:t>
      </w:r>
    </w:p>
    <w:p>
      <w:pPr>
        <w:pStyle w:val="預設值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開源軟體</w:t>
      </w:r>
      <w:r>
        <w:rPr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：乙方若於專案中使用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Open Source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軟體，需事先列出清單並取得甲方書面同意，且不得使用具傳染性條款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如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GPL)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之授權。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編號"/>
  </w:abstractNum>
  <w:abstractNum w:abstractNumId="1">
    <w:multiLevelType w:val="hybridMultilevel"/>
    <w:styleLink w:val="編號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T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numbering" w:styleId="編號">
    <w:name w:val="編號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TC Medium"/>
            <a:ea typeface="PingFang TC Medium"/>
            <a:cs typeface="PingFang TC Medium"/>
            <a:sym typeface="PingFang T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