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over-letter"/>
    <w:p>
      <w:pPr>
        <w:pStyle w:val="Heading1"/>
      </w:pPr>
      <w:r>
        <w:t xml:space="preserve">Cover Letter</w:t>
      </w:r>
    </w:p>
    <w:p>
      <w:pPr>
        <w:pStyle w:val="FirstParagraph"/>
      </w:pPr>
      <w:r>
        <w:t xml:space="preserve">Dear Editors,</w:t>
      </w:r>
    </w:p>
    <w:p>
      <w:pPr>
        <w:pStyle w:val="BodyText"/>
      </w:pPr>
      <w:r>
        <w:t xml:space="preserve">Please consider the enclosed manuscript,</w:t>
      </w:r>
      <w:r>
        <w:t xml:space="preserve"> </w:t>
      </w:r>
      <w:r>
        <w:rPr>
          <w:b/>
          <w:bCs/>
        </w:rPr>
        <w:t xml:space="preserve">“Where the Longevity Discourse is Systematically Wrong: A Calibrated Synthesis of 38 Aging Interventions”</w:t>
      </w:r>
      <w:r>
        <w:t xml:space="preserve">, for publication in</w:t>
      </w:r>
      <w:r>
        <w:t xml:space="preserve"> </w:t>
      </w:r>
      <w:r>
        <w:rPr>
          <w:i/>
          <w:iCs/>
        </w:rPr>
        <w:t xml:space="preserve">npj Aging</w:t>
      </w:r>
      <w:r>
        <w:t xml:space="preserve">.</w:t>
      </w:r>
    </w:p>
    <w:bookmarkStart w:id="9" w:name="why-this-work-why-now"/>
    <w:p>
      <w:pPr>
        <w:pStyle w:val="Heading2"/>
      </w:pPr>
      <w:r>
        <w:t xml:space="preserve">Why this work, why now</w:t>
      </w:r>
    </w:p>
    <w:p>
      <w:pPr>
        <w:pStyle w:val="FirstParagraph"/>
      </w:pPr>
      <w:r>
        <w:t xml:space="preserve">The aging-intervention literature has a structural problem: every intervention is reviewed in isolation, often by partisans, often without commitment to a fixed evidence standard. Public belief diverges from the highest-tier evidence in identifiable, repeated ways — resveratrol, NMN, metformin, time-restricted eating — and there is no single, methodologically pre-committed cross-intervention map to push against the divergence.</w:t>
      </w:r>
    </w:p>
    <w:p>
      <w:pPr>
        <w:pStyle w:val="BodyText"/>
      </w:pPr>
      <w:r>
        <w:t xml:space="preserve">This manuscript provides one. Before assessing any specific intervention, I locked a methodology: a six-tier evidence ladder (T0–T5), six verdict bands, explicit replication standards, conflict-of-interest discounts, and five external calibration anchors (exercise, caloric restriction, rapamycin, NMN, resveratrol). The methodology and anchors were timestamped on Zenodo (DOI 10.5281/zenodo.19768647) on 2026-04-24, prior to per-intervention work. Thirty-eight interventions and four pairwise interactions were then synthesized against the locked rules.</w:t>
      </w:r>
    </w:p>
    <w:bookmarkEnd w:id="9"/>
    <w:bookmarkStart w:id="10" w:name="what-is-novel"/>
    <w:p>
      <w:pPr>
        <w:pStyle w:val="Heading2"/>
      </w:pPr>
      <w:r>
        <w:t xml:space="preserve">What is novel</w:t>
      </w:r>
    </w:p>
    <w:p>
      <w:pPr>
        <w:pStyle w:val="Compact"/>
        <w:numPr>
          <w:ilvl w:val="0"/>
          <w:numId w:val="1001"/>
        </w:numPr>
      </w:pPr>
      <w:r>
        <w:rPr>
          <w:b/>
          <w:bCs/>
        </w:rPr>
        <w:t xml:space="preserve">Pre-commitment.</w:t>
      </w:r>
      <w:r>
        <w:t xml:space="preserve"> </w:t>
      </w:r>
      <w:r>
        <w:t xml:space="preserve">The methodology was frozen and archived publicly before assessments began, making the central anti-bias mechanism externally auditable.</w:t>
      </w:r>
    </w:p>
    <w:p>
      <w:pPr>
        <w:pStyle w:val="Compact"/>
        <w:numPr>
          <w:ilvl w:val="0"/>
          <w:numId w:val="1001"/>
        </w:numPr>
      </w:pPr>
      <w:r>
        <w:rPr>
          <w:b/>
          <w:bCs/>
        </w:rPr>
        <w:t xml:space="preserve">Triangulation against named anchors.</w:t>
      </w:r>
      <w:r>
        <w:t xml:space="preserve"> </w:t>
      </w:r>
      <w:r>
        <w:t xml:space="preserve">Every verdict is defended against the closest of five calibration anchors. The reasoning is contestable on its own terms, not just by appeal to the literature.</w:t>
      </w:r>
    </w:p>
    <w:p>
      <w:pPr>
        <w:pStyle w:val="Compact"/>
        <w:numPr>
          <w:ilvl w:val="0"/>
          <w:numId w:val="1001"/>
        </w:numPr>
      </w:pPr>
      <w:r>
        <w:rPr>
          <w:b/>
          <w:bCs/>
        </w:rPr>
        <w:t xml:space="preserve">Eight specific findings where the public discourse and the highest-tier evidence diverge</w:t>
      </w:r>
      <w:r>
        <w:t xml:space="preserve"> </w:t>
      </w:r>
      <w:r>
        <w:t xml:space="preserve">— including the metformin–exercise antagonism, the GLP-1 muscle-loss problem, the time-restricted-eating null, the taurine downgrade, and the structural under-attention to sauna/heat exposure.</w:t>
      </w:r>
    </w:p>
    <w:p>
      <w:pPr>
        <w:pStyle w:val="Compact"/>
        <w:numPr>
          <w:ilvl w:val="0"/>
          <w:numId w:val="1001"/>
        </w:numPr>
      </w:pPr>
      <w:r>
        <w:rPr>
          <w:b/>
          <w:bCs/>
        </w:rPr>
        <w:t xml:space="preserve">Open data.</w:t>
      </w:r>
      <w:r>
        <w:t xml:space="preserve"> </w:t>
      </w:r>
      <w:r>
        <w:t xml:space="preserve">The full per-intervention database, build scripts, and verdict-table snapshot are CC-BY archived (companion deposit DOI 10.5281/zenodo.19769433).</w:t>
      </w:r>
    </w:p>
    <w:bookmarkEnd w:id="10"/>
    <w:bookmarkStart w:id="11" w:name="fit-with-npj-aging"/>
    <w:p>
      <w:pPr>
        <w:pStyle w:val="Heading2"/>
      </w:pPr>
      <w:r>
        <w:t xml:space="preserve">Fit with</w:t>
      </w:r>
      <w:r>
        <w:t xml:space="preserve"> </w:t>
      </w:r>
      <w:r>
        <w:rPr>
          <w:i/>
          <w:iCs/>
        </w:rPr>
        <w:t xml:space="preserve">npj Aging</w:t>
      </w:r>
    </w:p>
    <w:p>
      <w:pPr>
        <w:pStyle w:val="FirstParagraph"/>
      </w:pPr>
      <w:r>
        <w:t xml:space="preserve">The manuscript is a SANRA-formatted narrative review. It is descriptive of</w:t>
      </w:r>
      <w:r>
        <w:t xml:space="preserve"> </w:t>
      </w:r>
      <w:r>
        <w:rPr>
          <w:i/>
          <w:iCs/>
        </w:rPr>
        <w:t xml:space="preserve">what the evidence currently supports</w:t>
      </w:r>
      <w:r>
        <w:t xml:space="preserve">, not of new biology — but it is calibrated, replicable in approach, and offers a re-usable methodology that other syntheses can adopt or contest.</w:t>
      </w:r>
      <w:r>
        <w:t xml:space="preserve"> </w:t>
      </w:r>
      <w:r>
        <w:rPr>
          <w:i/>
          <w:iCs/>
        </w:rPr>
        <w:t xml:space="preserve">npj Aging</w:t>
      </w:r>
      <w:r>
        <w:t xml:space="preserve">’s open-access mandate fits the goal of making the verdict map as broadly readable as possible.</w:t>
      </w:r>
    </w:p>
    <w:bookmarkEnd w:id="11"/>
    <w:bookmarkStart w:id="12" w:name="disclosures"/>
    <w:p>
      <w:pPr>
        <w:pStyle w:val="Heading2"/>
      </w:pPr>
      <w:r>
        <w:t xml:space="preserve">Disclosures</w:t>
      </w:r>
    </w:p>
    <w:p>
      <w:pPr>
        <w:pStyle w:val="FirstParagraph"/>
      </w:pPr>
      <w:r>
        <w:t xml:space="preserve">The synthesis was AI-assisted (Anthropic Claude). The human author verified citations and audited representative pages, in line with ICMJE 2024 guidance on AI assistance, disclosed in §2.10 of the manuscript. No funding sources, no commercial conflicts, no prior submission elsewhere. The manuscript is not under consideration at any other journal. Suggested reviewers and the full author declarations are provided in the SNAPP submission system.</w:t>
      </w:r>
    </w:p>
    <w:p>
      <w:pPr>
        <w:pStyle w:val="BodyText"/>
      </w:pPr>
      <w:r>
        <w:t xml:space="preserve">Thank you for your consideration.</w:t>
      </w:r>
    </w:p>
    <w:p>
      <w:pPr>
        <w:pStyle w:val="BodyText"/>
      </w:pPr>
      <w:r>
        <w:t xml:space="preserve">Sincerely,</w:t>
      </w:r>
      <w:r>
        <w:t xml:space="preserve"> </w:t>
      </w:r>
      <w:r>
        <w:t xml:space="preserve">Karen Serfaty</w:t>
      </w:r>
      <w:r>
        <w:t xml:space="preserve"> </w:t>
      </w:r>
      <w:r>
        <w:t xml:space="preserve">ORCID: 0009-0007-9185-4181</w:t>
      </w:r>
      <w:r>
        <w:t xml:space="preserve"> </w:t>
      </w:r>
      <w:r>
        <w:t xml:space="preserve">me@krn.sh</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2026-04-25T18:18:39Z</dcterms:created>
  <dcterms:modified xsi:type="dcterms:W3CDTF">2026-04-25T18:18:39Z</dcterms:modified>
</cp:coreProperties>
</file>

<file path=docProps/custom.xml><?xml version="1.0" encoding="utf-8"?>
<Properties xmlns="http://schemas.openxmlformats.org/officeDocument/2006/custom-properties" xmlns:vt="http://schemas.openxmlformats.org/officeDocument/2006/docPropsVTypes"/>
</file>