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3C790" w14:textId="77777777" w:rsidR="00E61C47" w:rsidRDefault="00D266E3">
      <w:pPr>
        <w:pBdr>
          <w:top w:val="nil"/>
          <w:left w:val="nil"/>
          <w:bottom w:val="nil"/>
          <w:right w:val="nil"/>
          <w:between w:val="nil"/>
        </w:pBdr>
      </w:pPr>
      <w:r>
        <w:t xml:space="preserve">Keys Le </w:t>
      </w:r>
    </w:p>
    <w:p w14:paraId="706BC6F0" w14:textId="77777777" w:rsidR="00E61C47" w:rsidRDefault="00D266E3">
      <w:pPr>
        <w:pBdr>
          <w:top w:val="nil"/>
          <w:left w:val="nil"/>
          <w:bottom w:val="nil"/>
          <w:right w:val="nil"/>
          <w:between w:val="nil"/>
        </w:pBdr>
      </w:pPr>
      <w:r>
        <w:t>4/24/20</w:t>
      </w:r>
    </w:p>
    <w:p w14:paraId="71BBC70B" w14:textId="77777777" w:rsidR="00E61C47" w:rsidRDefault="00D266E3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Lab 3 Descriptive Statistics </w:t>
      </w:r>
    </w:p>
    <w:p w14:paraId="4BCFD387" w14:textId="77777777" w:rsidR="00E61C47" w:rsidRDefault="00D266E3">
      <w:r>
        <w:tab/>
        <w:t xml:space="preserve">These data are compiled from an online sample of 593 participants who filled out the Kentucky Inventory of Mindfulness Skills (KIMS) an assessment for mindfulness. The participants were asked a total of 39 questions and were rated on five-point Likert scale: 1= Never or very rarely true, 2= Rarely true, 3= Sometimes true, 4 = Often true, 5= Very often or always true, 0=none selected. The participants were asked their age and any participant under the age of 14 was removed from the study. Biological sex was entered with the option of 1=male and 2=female. With these data the scores were summarized into four different categories of mindfulness: observing, describing, accepting, and acting. </w:t>
      </w:r>
    </w:p>
    <w:p w14:paraId="7EF2B67C" w14:textId="29AE49D2" w:rsidR="00E61C47" w:rsidRDefault="00D266E3">
      <w:pPr>
        <w:pBdr>
          <w:top w:val="nil"/>
          <w:left w:val="nil"/>
          <w:bottom w:val="nil"/>
          <w:right w:val="nil"/>
          <w:between w:val="nil"/>
        </w:pBdr>
      </w:pPr>
      <w:r>
        <w:tab/>
        <w:t>For the sample size of 593 participants there were a total of 301 female and 292 male participants. The average age is 38.57 (</w:t>
      </w:r>
      <w:proofErr w:type="gramStart"/>
      <w:r>
        <w:rPr>
          <w:i/>
        </w:rPr>
        <w:t>S</w:t>
      </w:r>
      <w:r w:rsidR="00CA4AAF">
        <w:rPr>
          <w:i/>
        </w:rPr>
        <w:t>D</w:t>
      </w:r>
      <w:r>
        <w:rPr>
          <w:i/>
        </w:rPr>
        <w:t xml:space="preserve">  </w:t>
      </w:r>
      <w:r>
        <w:t>=</w:t>
      </w:r>
      <w:proofErr w:type="gramEnd"/>
      <w:r>
        <w:t xml:space="preserve"> 15.21) years, the minimum was 14 years of age and the maximum was 85 years of age. Table 1 displays the categories of mindfulness. Observing (</w:t>
      </w:r>
      <w:r>
        <w:rPr>
          <w:i/>
        </w:rPr>
        <w:t xml:space="preserve">M </w:t>
      </w:r>
      <w:r>
        <w:t xml:space="preserve">= 3.52; </w:t>
      </w:r>
      <w:r>
        <w:rPr>
          <w:i/>
        </w:rPr>
        <w:t xml:space="preserve">SD = </w:t>
      </w:r>
      <w:r>
        <w:t>0.68), describing (</w:t>
      </w:r>
      <w:r>
        <w:rPr>
          <w:i/>
        </w:rPr>
        <w:t xml:space="preserve">M </w:t>
      </w:r>
      <w:r>
        <w:t xml:space="preserve">= 3.14; </w:t>
      </w:r>
      <w:r>
        <w:rPr>
          <w:i/>
        </w:rPr>
        <w:t xml:space="preserve">SD </w:t>
      </w:r>
      <w:r>
        <w:t>= 0.68), accepting (</w:t>
      </w:r>
      <w:r>
        <w:rPr>
          <w:i/>
        </w:rPr>
        <w:t xml:space="preserve">M </w:t>
      </w:r>
      <w:r>
        <w:t xml:space="preserve">= 2.93; </w:t>
      </w:r>
      <w:r>
        <w:rPr>
          <w:i/>
        </w:rPr>
        <w:t xml:space="preserve">SD </w:t>
      </w:r>
      <w:r>
        <w:t>= 0.95), and acting (</w:t>
      </w:r>
      <w:r>
        <w:rPr>
          <w:i/>
        </w:rPr>
        <w:t xml:space="preserve">M </w:t>
      </w:r>
      <w:r>
        <w:t xml:space="preserve">= 3.22; </w:t>
      </w:r>
      <w:r>
        <w:rPr>
          <w:i/>
        </w:rPr>
        <w:t xml:space="preserve">SD </w:t>
      </w:r>
      <w:r>
        <w:t>= 0.43). Female and male descriptive statistics for each reported category (age, observing, describing, accepting, and acting) will refer to Table 2 and Table 3</w:t>
      </w:r>
      <w:r w:rsidR="00CA4AAF">
        <w:t xml:space="preserve">. </w:t>
      </w:r>
      <w:r>
        <w:t xml:space="preserve">A paired samples </w:t>
      </w:r>
      <w:r>
        <w:rPr>
          <w:i/>
        </w:rPr>
        <w:t>t</w:t>
      </w:r>
      <w:r>
        <w:t xml:space="preserve">-test was conducted to evaluate whether there </w:t>
      </w:r>
      <w:proofErr w:type="gramStart"/>
      <w:r>
        <w:t>is</w:t>
      </w:r>
      <w:proofErr w:type="gramEnd"/>
      <w:r>
        <w:t xml:space="preserve"> biological differences between males and females, differed in their levels of mindfulness (observing, describing, accepting, and acting). The results indicated that age in the female group was </w:t>
      </w:r>
    </w:p>
    <w:p w14:paraId="4AF02357" w14:textId="52F26B4F" w:rsidR="00E61C47" w:rsidRPr="00CA4AAF" w:rsidRDefault="00D266E3" w:rsidP="00CA4AAF">
      <w:pPr>
        <w:pBdr>
          <w:top w:val="nil"/>
          <w:left w:val="nil"/>
          <w:bottom w:val="nil"/>
          <w:right w:val="nil"/>
          <w:between w:val="nil"/>
        </w:pBdr>
      </w:pPr>
      <w:r>
        <w:t>(</w:t>
      </w:r>
      <w:r>
        <w:rPr>
          <w:i/>
        </w:rPr>
        <w:t xml:space="preserve">M </w:t>
      </w:r>
      <w:r>
        <w:t xml:space="preserve">= 39.27; </w:t>
      </w:r>
      <w:r>
        <w:rPr>
          <w:i/>
        </w:rPr>
        <w:t>SD</w:t>
      </w:r>
      <w:r>
        <w:t xml:space="preserve"> = 15.09) compared to male group (</w:t>
      </w:r>
      <w:r>
        <w:rPr>
          <w:i/>
        </w:rPr>
        <w:t xml:space="preserve">M </w:t>
      </w:r>
      <w:r>
        <w:t xml:space="preserve">= 37.85; </w:t>
      </w:r>
      <w:r>
        <w:rPr>
          <w:i/>
        </w:rPr>
        <w:t>SD</w:t>
      </w:r>
      <w:r>
        <w:t xml:space="preserve"> = 15.32), </w:t>
      </w:r>
      <w:proofErr w:type="gramStart"/>
      <w:r>
        <w:rPr>
          <w:i/>
        </w:rPr>
        <w:t>t</w:t>
      </w:r>
      <w:r>
        <w:t>(</w:t>
      </w:r>
      <w:proofErr w:type="gramEnd"/>
      <w:r>
        <w:t xml:space="preserve">591) = 1.14, </w:t>
      </w:r>
      <w:r>
        <w:rPr>
          <w:i/>
        </w:rPr>
        <w:t>p</w:t>
      </w:r>
      <w:r>
        <w:t xml:space="preserve"> =.256  was of equal variance and were </w:t>
      </w:r>
      <w:proofErr w:type="spellStart"/>
      <w:r>
        <w:t>non significant</w:t>
      </w:r>
      <w:proofErr w:type="spellEnd"/>
      <w:r>
        <w:t xml:space="preserve">. See Figure 1 and 2 for boxplots of </w:t>
      </w:r>
      <w:r>
        <w:lastRenderedPageBreak/>
        <w:t xml:space="preserve">describing and acting </w:t>
      </w:r>
      <w:proofErr w:type="spellStart"/>
      <w:r>
        <w:t>bsex</w:t>
      </w:r>
      <w:proofErr w:type="spellEnd"/>
      <w:r>
        <w:t xml:space="preserve">. The results indicated that females were higher in both acting and describing according to Kentucky Inventory of Mindfulness Skills. </w:t>
      </w:r>
    </w:p>
    <w:tbl>
      <w:tblPr>
        <w:tblStyle w:val="a"/>
        <w:tblW w:w="6600" w:type="dxa"/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</w:tblGrid>
      <w:tr w:rsidR="00E61C47" w14:paraId="0AA7E16C" w14:textId="77777777">
        <w:trPr>
          <w:trHeight w:val="440"/>
        </w:trPr>
        <w:tc>
          <w:tcPr>
            <w:tcW w:w="66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A827" w14:textId="77777777" w:rsidR="00E61C47" w:rsidRDefault="00D266E3">
            <w:pPr>
              <w:spacing w:line="240" w:lineRule="auto"/>
              <w:rPr>
                <w:i/>
              </w:rPr>
            </w:pPr>
            <w:r>
              <w:t xml:space="preserve">Table 1. </w:t>
            </w:r>
          </w:p>
        </w:tc>
      </w:tr>
      <w:tr w:rsidR="00E61C47" w14:paraId="6E0784CD" w14:textId="77777777">
        <w:trPr>
          <w:trHeight w:val="440"/>
        </w:trPr>
        <w:tc>
          <w:tcPr>
            <w:tcW w:w="6600" w:type="dxa"/>
            <w:gridSpan w:val="5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AC72" w14:textId="77777777" w:rsidR="00E61C47" w:rsidRDefault="00D266E3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Descriptive Statistics on Sample for Mindfulness</w:t>
            </w:r>
          </w:p>
        </w:tc>
      </w:tr>
      <w:tr w:rsidR="00E61C47" w14:paraId="6FBB1DA1" w14:textId="77777777">
        <w:tc>
          <w:tcPr>
            <w:tcW w:w="1320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A230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Groups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CCB3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D0E3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SD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507B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6B7C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</w:t>
            </w:r>
          </w:p>
        </w:tc>
      </w:tr>
      <w:tr w:rsidR="00E61C47" w14:paraId="7DF618C5" w14:textId="77777777">
        <w:tc>
          <w:tcPr>
            <w:tcW w:w="132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A26B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Observing</w:t>
            </w:r>
          </w:p>
        </w:tc>
        <w:tc>
          <w:tcPr>
            <w:tcW w:w="132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E9AA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3.52</w:t>
            </w:r>
          </w:p>
        </w:tc>
        <w:tc>
          <w:tcPr>
            <w:tcW w:w="132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1644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0.68</w:t>
            </w:r>
          </w:p>
        </w:tc>
        <w:tc>
          <w:tcPr>
            <w:tcW w:w="132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241D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</w:t>
            </w:r>
          </w:p>
        </w:tc>
        <w:tc>
          <w:tcPr>
            <w:tcW w:w="132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5E94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E61C47" w14:paraId="0AE9C17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48EE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Describing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CCF8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1F42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0.38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06A9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5982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E61C47" w14:paraId="4757E70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F793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8EFC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2.93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FF17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C8E9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44EC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E61C47" w14:paraId="463DB02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DFF7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CEF7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911B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0.43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534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0ECE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E61C47" w14:paraId="4DAC484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A928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3234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38.57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EA74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15.21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3DC2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14.0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F83F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</w:t>
            </w:r>
          </w:p>
        </w:tc>
      </w:tr>
      <w:tr w:rsidR="00E61C47" w14:paraId="1CE4D5E4" w14:textId="77777777">
        <w:tc>
          <w:tcPr>
            <w:tcW w:w="13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98E4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bSex</w:t>
            </w:r>
            <w:proofErr w:type="spellEnd"/>
          </w:p>
        </w:tc>
        <w:tc>
          <w:tcPr>
            <w:tcW w:w="13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5F82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1.49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E1A9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0.50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C54B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B13A" w14:textId="77777777" w:rsidR="00E61C47" w:rsidRDefault="00D26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</w:tbl>
    <w:p w14:paraId="11EE3AD0" w14:textId="77777777" w:rsidR="00E61C47" w:rsidRDefault="00E61C47">
      <w:pPr>
        <w:widowControl w:val="0"/>
        <w:spacing w:line="240" w:lineRule="auto"/>
      </w:pPr>
    </w:p>
    <w:p w14:paraId="7B52ECC4" w14:textId="77777777" w:rsidR="00E61C47" w:rsidRDefault="00D266E3">
      <w:pPr>
        <w:shd w:val="clear" w:color="auto" w:fill="FFFFFF"/>
        <w:ind w:firstLine="720"/>
      </w:pPr>
      <w:r>
        <w:t>In the observing group, female respondents had an average of 3.55 (</w:t>
      </w:r>
      <w:r>
        <w:rPr>
          <w:i/>
        </w:rPr>
        <w:t>SD</w:t>
      </w:r>
      <w:r>
        <w:t>= 0.66) and male respondents had an average of 3.49 (</w:t>
      </w:r>
      <w:r>
        <w:rPr>
          <w:i/>
        </w:rPr>
        <w:t>SD</w:t>
      </w:r>
      <w:r>
        <w:t>= 0.70). In the describing group, female respondents had a mean of 3.18 (</w:t>
      </w:r>
      <w:r>
        <w:rPr>
          <w:i/>
        </w:rPr>
        <w:t>SD</w:t>
      </w:r>
      <w:r>
        <w:t>= 0.37) and male respondents had an average of 3.11 (</w:t>
      </w:r>
      <w:r>
        <w:rPr>
          <w:i/>
        </w:rPr>
        <w:t xml:space="preserve">SD= </w:t>
      </w:r>
      <w:r>
        <w:t>0.39). In the accepting group, female respondents had an average of 2.96 (</w:t>
      </w:r>
      <w:r>
        <w:rPr>
          <w:i/>
        </w:rPr>
        <w:t>SD</w:t>
      </w:r>
      <w:r>
        <w:t>= 1.00) and male respondents had an average of 2.90 (</w:t>
      </w:r>
      <w:r>
        <w:rPr>
          <w:i/>
        </w:rPr>
        <w:t>SD</w:t>
      </w:r>
      <w:r>
        <w:t>= 0.90). In the acting group female respondents had an average of 3.26 (</w:t>
      </w:r>
      <w:r>
        <w:rPr>
          <w:i/>
        </w:rPr>
        <w:t>SD=</w:t>
      </w:r>
      <w:r>
        <w:t xml:space="preserve"> 0.42) and male respondents had an average of 3.18 (</w:t>
      </w:r>
      <w:r>
        <w:rPr>
          <w:i/>
        </w:rPr>
        <w:t xml:space="preserve">SD= </w:t>
      </w:r>
      <w:r>
        <w:t>0.42)</w:t>
      </w:r>
    </w:p>
    <w:tbl>
      <w:tblPr>
        <w:tblStyle w:val="a0"/>
        <w:tblW w:w="7005" w:type="dxa"/>
        <w:tblLayout w:type="fixed"/>
        <w:tblLook w:val="0600" w:firstRow="0" w:lastRow="0" w:firstColumn="0" w:lastColumn="0" w:noHBand="1" w:noVBand="1"/>
      </w:tblPr>
      <w:tblGrid>
        <w:gridCol w:w="1725"/>
        <w:gridCol w:w="1320"/>
        <w:gridCol w:w="1320"/>
        <w:gridCol w:w="1320"/>
        <w:gridCol w:w="1320"/>
      </w:tblGrid>
      <w:tr w:rsidR="00E61C47" w14:paraId="04FF6730" w14:textId="77777777">
        <w:trPr>
          <w:trHeight w:val="440"/>
        </w:trPr>
        <w:tc>
          <w:tcPr>
            <w:tcW w:w="70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FA77" w14:textId="77777777" w:rsidR="00CA4AAF" w:rsidRDefault="00CA4AAF">
            <w:pPr>
              <w:spacing w:line="240" w:lineRule="auto"/>
            </w:pPr>
          </w:p>
          <w:p w14:paraId="24B81E0A" w14:textId="77777777" w:rsidR="00CA4AAF" w:rsidRDefault="00CA4AAF">
            <w:pPr>
              <w:spacing w:line="240" w:lineRule="auto"/>
            </w:pPr>
          </w:p>
          <w:p w14:paraId="314A2448" w14:textId="77777777" w:rsidR="00CA4AAF" w:rsidRDefault="00CA4AAF">
            <w:pPr>
              <w:spacing w:line="240" w:lineRule="auto"/>
            </w:pPr>
          </w:p>
          <w:p w14:paraId="403E6963" w14:textId="77777777" w:rsidR="00CA4AAF" w:rsidRDefault="00CA4AAF">
            <w:pPr>
              <w:spacing w:line="240" w:lineRule="auto"/>
            </w:pPr>
          </w:p>
          <w:p w14:paraId="6BF0520C" w14:textId="77777777" w:rsidR="00CA4AAF" w:rsidRDefault="00CA4AAF">
            <w:pPr>
              <w:spacing w:line="240" w:lineRule="auto"/>
            </w:pPr>
          </w:p>
          <w:p w14:paraId="7BB74779" w14:textId="77777777" w:rsidR="00CA4AAF" w:rsidRDefault="00CA4AAF">
            <w:pPr>
              <w:spacing w:line="240" w:lineRule="auto"/>
            </w:pPr>
          </w:p>
          <w:p w14:paraId="7F1F16E1" w14:textId="77777777" w:rsidR="00CA4AAF" w:rsidRDefault="00CA4AAF">
            <w:pPr>
              <w:spacing w:line="240" w:lineRule="auto"/>
            </w:pPr>
          </w:p>
          <w:p w14:paraId="180AC417" w14:textId="77777777" w:rsidR="00CA4AAF" w:rsidRDefault="00CA4AAF">
            <w:pPr>
              <w:spacing w:line="240" w:lineRule="auto"/>
            </w:pPr>
          </w:p>
          <w:p w14:paraId="6587A859" w14:textId="77777777" w:rsidR="00CA4AAF" w:rsidRDefault="00CA4AAF">
            <w:pPr>
              <w:spacing w:line="240" w:lineRule="auto"/>
            </w:pPr>
          </w:p>
          <w:p w14:paraId="129FC3D7" w14:textId="77777777" w:rsidR="00CA4AAF" w:rsidRDefault="00CA4AAF">
            <w:pPr>
              <w:spacing w:line="240" w:lineRule="auto"/>
            </w:pPr>
          </w:p>
          <w:p w14:paraId="386C7562" w14:textId="77777777" w:rsidR="00CA4AAF" w:rsidRDefault="00CA4AAF">
            <w:pPr>
              <w:spacing w:line="240" w:lineRule="auto"/>
            </w:pPr>
          </w:p>
          <w:p w14:paraId="33933305" w14:textId="77777777" w:rsidR="00CA4AAF" w:rsidRDefault="00CA4AAF">
            <w:pPr>
              <w:spacing w:line="240" w:lineRule="auto"/>
            </w:pPr>
          </w:p>
          <w:p w14:paraId="576CD39F" w14:textId="33E00100" w:rsidR="00E61C47" w:rsidRDefault="00D266E3">
            <w:pPr>
              <w:spacing w:line="240" w:lineRule="auto"/>
            </w:pPr>
            <w:r>
              <w:lastRenderedPageBreak/>
              <w:t xml:space="preserve">Table 2. </w:t>
            </w:r>
          </w:p>
        </w:tc>
      </w:tr>
      <w:tr w:rsidR="00E61C47" w14:paraId="38E040AC" w14:textId="77777777">
        <w:trPr>
          <w:trHeight w:val="440"/>
        </w:trPr>
        <w:tc>
          <w:tcPr>
            <w:tcW w:w="7005" w:type="dxa"/>
            <w:gridSpan w:val="5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498B" w14:textId="77777777" w:rsidR="00E61C47" w:rsidRDefault="00D266E3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Descriptive Statistics by Group</w:t>
            </w:r>
          </w:p>
        </w:tc>
      </w:tr>
      <w:tr w:rsidR="00E61C47" w14:paraId="2B898724" w14:textId="77777777">
        <w:tc>
          <w:tcPr>
            <w:tcW w:w="1725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E4E6" w14:textId="77777777" w:rsidR="00E61C47" w:rsidRDefault="00D266E3">
            <w:pPr>
              <w:widowControl w:val="0"/>
              <w:spacing w:line="240" w:lineRule="auto"/>
            </w:pPr>
            <w:r>
              <w:t>Group: female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F9F0" w14:textId="77777777" w:rsidR="00E61C47" w:rsidRDefault="00D266E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305F" w14:textId="77777777" w:rsidR="00E61C47" w:rsidRDefault="00D266E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SD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9198" w14:textId="77777777" w:rsidR="00E61C47" w:rsidRDefault="00D266E3">
            <w:pPr>
              <w:widowControl w:val="0"/>
              <w:spacing w:line="240" w:lineRule="auto"/>
            </w:pPr>
            <w:r>
              <w:t>Min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28F8" w14:textId="77777777" w:rsidR="00E61C47" w:rsidRDefault="00D266E3">
            <w:pPr>
              <w:widowControl w:val="0"/>
              <w:spacing w:line="240" w:lineRule="auto"/>
            </w:pPr>
            <w:r>
              <w:t>Max</w:t>
            </w:r>
          </w:p>
        </w:tc>
      </w:tr>
      <w:tr w:rsidR="00E61C47" w14:paraId="0FEED8B4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29C6" w14:textId="77777777" w:rsidR="00E61C47" w:rsidRDefault="00D266E3">
            <w:pPr>
              <w:widowControl w:val="0"/>
              <w:spacing w:line="240" w:lineRule="auto"/>
            </w:pPr>
            <w:r>
              <w:t>Age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6587" w14:textId="77777777" w:rsidR="00E61C47" w:rsidRDefault="00D266E3">
            <w:pPr>
              <w:widowControl w:val="0"/>
              <w:spacing w:line="240" w:lineRule="auto"/>
            </w:pPr>
            <w:r>
              <w:t>39.27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A24A" w14:textId="77777777" w:rsidR="00E61C47" w:rsidRDefault="00D266E3">
            <w:pPr>
              <w:widowControl w:val="0"/>
              <w:spacing w:line="240" w:lineRule="auto"/>
            </w:pPr>
            <w:r>
              <w:t>15.09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DE34" w14:textId="77777777" w:rsidR="00E61C47" w:rsidRDefault="00D266E3">
            <w:pPr>
              <w:widowControl w:val="0"/>
              <w:spacing w:line="240" w:lineRule="auto"/>
            </w:pPr>
            <w:r>
              <w:t>14.0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4B41" w14:textId="77777777" w:rsidR="00E61C47" w:rsidRDefault="00D266E3">
            <w:pPr>
              <w:widowControl w:val="0"/>
              <w:spacing w:line="240" w:lineRule="auto"/>
            </w:pPr>
            <w:r>
              <w:t>75</w:t>
            </w:r>
          </w:p>
        </w:tc>
      </w:tr>
      <w:tr w:rsidR="00E61C47" w14:paraId="0F16BE36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2DEE" w14:textId="77777777" w:rsidR="00E61C47" w:rsidRDefault="00D266E3">
            <w:pPr>
              <w:widowControl w:val="0"/>
              <w:spacing w:line="240" w:lineRule="auto"/>
            </w:pPr>
            <w:r>
              <w:t>Observing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FAAC" w14:textId="77777777" w:rsidR="00E61C47" w:rsidRDefault="00D266E3">
            <w:pPr>
              <w:widowControl w:val="0"/>
              <w:spacing w:line="240" w:lineRule="auto"/>
            </w:pPr>
            <w:r>
              <w:t>3.55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71F3" w14:textId="77777777" w:rsidR="00E61C47" w:rsidRDefault="00D266E3">
            <w:pPr>
              <w:widowControl w:val="0"/>
              <w:spacing w:line="240" w:lineRule="auto"/>
            </w:pPr>
            <w:r>
              <w:t>0.66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4C78" w14:textId="77777777" w:rsidR="00E61C47" w:rsidRDefault="00D266E3">
            <w:pPr>
              <w:widowControl w:val="0"/>
              <w:spacing w:line="240" w:lineRule="auto"/>
            </w:pPr>
            <w:r>
              <w:t>1.4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8597" w14:textId="77777777" w:rsidR="00E61C47" w:rsidRDefault="00D266E3">
            <w:pPr>
              <w:widowControl w:val="0"/>
              <w:spacing w:line="240" w:lineRule="auto"/>
            </w:pPr>
            <w:r>
              <w:t>5</w:t>
            </w:r>
          </w:p>
        </w:tc>
      </w:tr>
      <w:tr w:rsidR="00E61C47" w14:paraId="3D032AEC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D49D" w14:textId="77777777" w:rsidR="00E61C47" w:rsidRDefault="00D266E3">
            <w:pPr>
              <w:widowControl w:val="0"/>
              <w:spacing w:line="240" w:lineRule="auto"/>
            </w:pPr>
            <w:r>
              <w:t>Describing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714F" w14:textId="77777777" w:rsidR="00E61C47" w:rsidRDefault="00D266E3">
            <w:pPr>
              <w:widowControl w:val="0"/>
              <w:spacing w:line="240" w:lineRule="auto"/>
            </w:pPr>
            <w:r>
              <w:t>3.18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E1A7" w14:textId="77777777" w:rsidR="00E61C47" w:rsidRDefault="00D266E3">
            <w:pPr>
              <w:widowControl w:val="0"/>
              <w:spacing w:line="240" w:lineRule="auto"/>
            </w:pPr>
            <w:r>
              <w:t>0.37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AA8B" w14:textId="77777777" w:rsidR="00E61C47" w:rsidRDefault="00D266E3">
            <w:pPr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7F65" w14:textId="77777777" w:rsidR="00E61C47" w:rsidRDefault="00D266E3">
            <w:pPr>
              <w:widowControl w:val="0"/>
              <w:spacing w:line="240" w:lineRule="auto"/>
            </w:pPr>
            <w:r>
              <w:t>5</w:t>
            </w:r>
          </w:p>
        </w:tc>
      </w:tr>
      <w:tr w:rsidR="00E61C47" w14:paraId="00B9B402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626C" w14:textId="77777777" w:rsidR="00E61C47" w:rsidRDefault="00D266E3">
            <w:pPr>
              <w:widowControl w:val="0"/>
              <w:spacing w:line="240" w:lineRule="auto"/>
            </w:pPr>
            <w:r>
              <w:t>Accepting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9609" w14:textId="77777777" w:rsidR="00E61C47" w:rsidRDefault="00D266E3">
            <w:pPr>
              <w:widowControl w:val="0"/>
              <w:spacing w:line="240" w:lineRule="auto"/>
            </w:pPr>
            <w:r>
              <w:t>2.96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B814" w14:textId="77777777" w:rsidR="00E61C47" w:rsidRDefault="00D266E3">
            <w:pPr>
              <w:widowControl w:val="0"/>
              <w:spacing w:line="240" w:lineRule="auto"/>
            </w:pPr>
            <w:r>
              <w:t>2.96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A4D2" w14:textId="77777777" w:rsidR="00E61C47" w:rsidRDefault="00D266E3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BFB1" w14:textId="77777777" w:rsidR="00E61C47" w:rsidRDefault="00D266E3">
            <w:pPr>
              <w:widowControl w:val="0"/>
              <w:spacing w:line="240" w:lineRule="auto"/>
            </w:pPr>
            <w:r>
              <w:t>5</w:t>
            </w:r>
          </w:p>
        </w:tc>
      </w:tr>
      <w:tr w:rsidR="00E61C47" w14:paraId="1F0D46FE" w14:textId="77777777">
        <w:tc>
          <w:tcPr>
            <w:tcW w:w="172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67DF" w14:textId="77777777" w:rsidR="00E61C47" w:rsidRDefault="00D266E3">
            <w:pPr>
              <w:widowControl w:val="0"/>
              <w:spacing w:line="240" w:lineRule="auto"/>
            </w:pPr>
            <w:r>
              <w:t>Acting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CA3A" w14:textId="77777777" w:rsidR="00E61C47" w:rsidRDefault="00D266E3">
            <w:pPr>
              <w:widowControl w:val="0"/>
              <w:spacing w:line="240" w:lineRule="auto"/>
            </w:pPr>
            <w:r>
              <w:t>3.26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EDF5" w14:textId="77777777" w:rsidR="00E61C47" w:rsidRDefault="00D266E3">
            <w:pPr>
              <w:widowControl w:val="0"/>
              <w:spacing w:line="240" w:lineRule="auto"/>
            </w:pPr>
            <w:r>
              <w:t>0.42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B682" w14:textId="77777777" w:rsidR="00E61C47" w:rsidRDefault="00D266E3">
            <w:pPr>
              <w:widowControl w:val="0"/>
              <w:spacing w:line="240" w:lineRule="auto"/>
            </w:pPr>
            <w:r>
              <w:t>1.8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5F48" w14:textId="77777777" w:rsidR="00E61C47" w:rsidRDefault="00D266E3">
            <w:pPr>
              <w:widowControl w:val="0"/>
              <w:spacing w:line="240" w:lineRule="auto"/>
            </w:pPr>
            <w:r>
              <w:t>5</w:t>
            </w:r>
          </w:p>
        </w:tc>
      </w:tr>
    </w:tbl>
    <w:p w14:paraId="5B693F16" w14:textId="77777777" w:rsidR="00E61C47" w:rsidRDefault="00E61C47"/>
    <w:tbl>
      <w:tblPr>
        <w:tblStyle w:val="a1"/>
        <w:tblW w:w="7005" w:type="dxa"/>
        <w:tblLayout w:type="fixed"/>
        <w:tblLook w:val="0600" w:firstRow="0" w:lastRow="0" w:firstColumn="0" w:lastColumn="0" w:noHBand="1" w:noVBand="1"/>
      </w:tblPr>
      <w:tblGrid>
        <w:gridCol w:w="1725"/>
        <w:gridCol w:w="1320"/>
        <w:gridCol w:w="1320"/>
        <w:gridCol w:w="1320"/>
        <w:gridCol w:w="1320"/>
      </w:tblGrid>
      <w:tr w:rsidR="00E61C47" w14:paraId="505CFD29" w14:textId="77777777">
        <w:trPr>
          <w:trHeight w:val="440"/>
        </w:trPr>
        <w:tc>
          <w:tcPr>
            <w:tcW w:w="70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0D66" w14:textId="77777777" w:rsidR="00E61C47" w:rsidRDefault="00D266E3">
            <w:pPr>
              <w:spacing w:line="240" w:lineRule="auto"/>
              <w:rPr>
                <w:i/>
              </w:rPr>
            </w:pPr>
            <w:r>
              <w:t xml:space="preserve">Table 3. </w:t>
            </w:r>
          </w:p>
        </w:tc>
      </w:tr>
      <w:tr w:rsidR="00E61C47" w14:paraId="4812CC00" w14:textId="77777777">
        <w:trPr>
          <w:trHeight w:val="440"/>
        </w:trPr>
        <w:tc>
          <w:tcPr>
            <w:tcW w:w="7005" w:type="dxa"/>
            <w:gridSpan w:val="5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F885" w14:textId="77777777" w:rsidR="00E61C47" w:rsidRDefault="00D266E3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Descriptive Statistics by Group</w:t>
            </w:r>
          </w:p>
        </w:tc>
      </w:tr>
      <w:tr w:rsidR="00E61C47" w14:paraId="0F37FAE7" w14:textId="77777777">
        <w:tc>
          <w:tcPr>
            <w:tcW w:w="1725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2FF" w14:textId="77777777" w:rsidR="00E61C47" w:rsidRDefault="00D266E3">
            <w:pPr>
              <w:widowControl w:val="0"/>
              <w:spacing w:line="240" w:lineRule="auto"/>
            </w:pPr>
            <w:r>
              <w:t>Group: male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CFB2" w14:textId="77777777" w:rsidR="00E61C47" w:rsidRDefault="00D266E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95D7" w14:textId="77777777" w:rsidR="00E61C47" w:rsidRDefault="00D266E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SD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1918" w14:textId="77777777" w:rsidR="00E61C47" w:rsidRDefault="00D266E3">
            <w:pPr>
              <w:widowControl w:val="0"/>
              <w:spacing w:line="240" w:lineRule="auto"/>
            </w:pPr>
            <w:r>
              <w:t>Min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A334" w14:textId="77777777" w:rsidR="00E61C47" w:rsidRDefault="00D266E3">
            <w:pPr>
              <w:widowControl w:val="0"/>
              <w:spacing w:line="240" w:lineRule="auto"/>
            </w:pPr>
            <w:r>
              <w:t>Max</w:t>
            </w:r>
          </w:p>
        </w:tc>
      </w:tr>
      <w:tr w:rsidR="00E61C47" w14:paraId="3BFB0977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30CE" w14:textId="77777777" w:rsidR="00E61C47" w:rsidRDefault="00D266E3">
            <w:pPr>
              <w:widowControl w:val="0"/>
              <w:spacing w:line="240" w:lineRule="auto"/>
            </w:pPr>
            <w:r>
              <w:t>Age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3437" w14:textId="77777777" w:rsidR="00E61C47" w:rsidRDefault="00D266E3">
            <w:pPr>
              <w:widowControl w:val="0"/>
              <w:spacing w:line="240" w:lineRule="auto"/>
            </w:pPr>
            <w:r>
              <w:t>37.85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F2AF" w14:textId="77777777" w:rsidR="00E61C47" w:rsidRDefault="00D266E3">
            <w:pPr>
              <w:widowControl w:val="0"/>
              <w:spacing w:line="240" w:lineRule="auto"/>
            </w:pPr>
            <w:r>
              <w:t>15.32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C8BE" w14:textId="77777777" w:rsidR="00E61C47" w:rsidRDefault="00D266E3">
            <w:pPr>
              <w:widowControl w:val="0"/>
              <w:spacing w:line="240" w:lineRule="auto"/>
            </w:pPr>
            <w:r>
              <w:t>15.0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D818" w14:textId="77777777" w:rsidR="00E61C47" w:rsidRDefault="00D266E3">
            <w:pPr>
              <w:widowControl w:val="0"/>
              <w:spacing w:line="240" w:lineRule="auto"/>
            </w:pPr>
            <w:r>
              <w:t>85</w:t>
            </w:r>
          </w:p>
        </w:tc>
      </w:tr>
      <w:tr w:rsidR="00E61C47" w14:paraId="64EF9E78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FC3D" w14:textId="77777777" w:rsidR="00E61C47" w:rsidRDefault="00D266E3">
            <w:pPr>
              <w:widowControl w:val="0"/>
              <w:spacing w:line="240" w:lineRule="auto"/>
            </w:pPr>
            <w:r>
              <w:t>Observing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7A1E" w14:textId="77777777" w:rsidR="00E61C47" w:rsidRDefault="00D266E3">
            <w:pPr>
              <w:widowControl w:val="0"/>
              <w:spacing w:line="240" w:lineRule="auto"/>
            </w:pPr>
            <w:r>
              <w:t>3.49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8F16" w14:textId="77777777" w:rsidR="00E61C47" w:rsidRDefault="00D266E3">
            <w:pPr>
              <w:widowControl w:val="0"/>
              <w:spacing w:line="240" w:lineRule="auto"/>
            </w:pPr>
            <w:r>
              <w:t>0.70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360D" w14:textId="77777777" w:rsidR="00E61C47" w:rsidRDefault="00D266E3">
            <w:pPr>
              <w:widowControl w:val="0"/>
              <w:spacing w:line="240" w:lineRule="auto"/>
            </w:pPr>
            <w:r>
              <w:t>1.2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829E" w14:textId="77777777" w:rsidR="00E61C47" w:rsidRDefault="00D266E3">
            <w:pPr>
              <w:widowControl w:val="0"/>
              <w:spacing w:line="240" w:lineRule="auto"/>
            </w:pPr>
            <w:r>
              <w:t>5</w:t>
            </w:r>
          </w:p>
        </w:tc>
      </w:tr>
      <w:tr w:rsidR="00E61C47" w14:paraId="3F532FAF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4ED7" w14:textId="77777777" w:rsidR="00E61C47" w:rsidRDefault="00D266E3">
            <w:pPr>
              <w:widowControl w:val="0"/>
              <w:spacing w:line="240" w:lineRule="auto"/>
            </w:pPr>
            <w:r>
              <w:t>Describing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181" w14:textId="77777777" w:rsidR="00E61C47" w:rsidRDefault="00D266E3">
            <w:pPr>
              <w:widowControl w:val="0"/>
              <w:spacing w:line="240" w:lineRule="auto"/>
            </w:pPr>
            <w:r>
              <w:t>3.11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4BB5" w14:textId="77777777" w:rsidR="00E61C47" w:rsidRDefault="00D266E3">
            <w:pPr>
              <w:widowControl w:val="0"/>
              <w:spacing w:line="240" w:lineRule="auto"/>
            </w:pPr>
            <w:r>
              <w:t>0.39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4148" w14:textId="77777777" w:rsidR="00E61C47" w:rsidRDefault="00D266E3">
            <w:pPr>
              <w:widowControl w:val="0"/>
              <w:spacing w:line="240" w:lineRule="auto"/>
            </w:pPr>
            <w:r>
              <w:t>1.4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61E3" w14:textId="77777777" w:rsidR="00E61C47" w:rsidRDefault="00D266E3">
            <w:pPr>
              <w:widowControl w:val="0"/>
              <w:spacing w:line="240" w:lineRule="auto"/>
            </w:pPr>
            <w:r>
              <w:t>5</w:t>
            </w:r>
          </w:p>
        </w:tc>
      </w:tr>
      <w:tr w:rsidR="00E61C47" w14:paraId="3BF78A14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2DE7" w14:textId="77777777" w:rsidR="00E61C47" w:rsidRDefault="00D266E3">
            <w:pPr>
              <w:widowControl w:val="0"/>
              <w:spacing w:line="240" w:lineRule="auto"/>
            </w:pPr>
            <w:r>
              <w:t>Accepting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F53E" w14:textId="77777777" w:rsidR="00E61C47" w:rsidRDefault="00D266E3">
            <w:pPr>
              <w:widowControl w:val="0"/>
              <w:spacing w:line="240" w:lineRule="auto"/>
            </w:pPr>
            <w:r>
              <w:t>2.90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5552" w14:textId="77777777" w:rsidR="00E61C47" w:rsidRDefault="00D266E3">
            <w:pPr>
              <w:widowControl w:val="0"/>
              <w:spacing w:line="240" w:lineRule="auto"/>
            </w:pPr>
            <w:r>
              <w:t>0.90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DFC4" w14:textId="77777777" w:rsidR="00E61C47" w:rsidRDefault="00D266E3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25CA" w14:textId="77777777" w:rsidR="00E61C47" w:rsidRDefault="00D266E3">
            <w:pPr>
              <w:widowControl w:val="0"/>
              <w:spacing w:line="240" w:lineRule="auto"/>
            </w:pPr>
            <w:r>
              <w:t>5</w:t>
            </w:r>
          </w:p>
        </w:tc>
      </w:tr>
      <w:tr w:rsidR="00E61C47" w14:paraId="1925E126" w14:textId="77777777">
        <w:tc>
          <w:tcPr>
            <w:tcW w:w="172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F6FC" w14:textId="77777777" w:rsidR="00E61C47" w:rsidRDefault="00D266E3">
            <w:pPr>
              <w:widowControl w:val="0"/>
              <w:spacing w:line="240" w:lineRule="auto"/>
            </w:pPr>
            <w:r>
              <w:t>Acting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F399" w14:textId="77777777" w:rsidR="00E61C47" w:rsidRDefault="00D266E3">
            <w:pPr>
              <w:widowControl w:val="0"/>
              <w:spacing w:line="240" w:lineRule="auto"/>
            </w:pPr>
            <w:r>
              <w:t>3.18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E416" w14:textId="77777777" w:rsidR="00E61C47" w:rsidRDefault="00D266E3">
            <w:pPr>
              <w:widowControl w:val="0"/>
              <w:spacing w:line="240" w:lineRule="auto"/>
            </w:pPr>
            <w:r>
              <w:t>0.42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FFFB" w14:textId="77777777" w:rsidR="00E61C47" w:rsidRDefault="00D266E3">
            <w:pPr>
              <w:widowControl w:val="0"/>
              <w:spacing w:line="240" w:lineRule="auto"/>
            </w:pPr>
            <w:r>
              <w:t>1.3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E771" w14:textId="77777777" w:rsidR="00E61C47" w:rsidRDefault="00D266E3">
            <w:pPr>
              <w:widowControl w:val="0"/>
              <w:spacing w:line="240" w:lineRule="auto"/>
            </w:pPr>
            <w:r>
              <w:t>5</w:t>
            </w:r>
          </w:p>
        </w:tc>
      </w:tr>
    </w:tbl>
    <w:p w14:paraId="5D3B3576" w14:textId="77777777" w:rsidR="00E61C47" w:rsidRDefault="00E61C47"/>
    <w:p w14:paraId="437ED4B9" w14:textId="77777777" w:rsidR="00E61C47" w:rsidRDefault="00D266E3">
      <w:r>
        <w:rPr>
          <w:noProof/>
        </w:rPr>
        <w:lastRenderedPageBreak/>
        <w:drawing>
          <wp:inline distT="114300" distB="114300" distL="114300" distR="114300" wp14:anchorId="20B73A9C" wp14:editId="30503968">
            <wp:extent cx="3467100" cy="2771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38369" w14:textId="77777777" w:rsidR="00E61C47" w:rsidRDefault="00D266E3">
      <w:r>
        <w:rPr>
          <w:i/>
        </w:rPr>
        <w:t xml:space="preserve">Figure 1. </w:t>
      </w:r>
      <w:r>
        <w:t xml:space="preserve">Describing by </w:t>
      </w:r>
      <w:proofErr w:type="spellStart"/>
      <w:r>
        <w:t>bsex</w:t>
      </w:r>
      <w:proofErr w:type="spellEnd"/>
      <w:r>
        <w:t xml:space="preserve"> </w:t>
      </w:r>
    </w:p>
    <w:p w14:paraId="48C55AEA" w14:textId="77777777" w:rsidR="00E61C47" w:rsidRDefault="00D266E3">
      <w:r>
        <w:rPr>
          <w:i/>
        </w:rPr>
        <w:t>Note</w:t>
      </w:r>
      <w:r>
        <w:t>. There is significant difference in describing</w:t>
      </w:r>
      <w:r>
        <w:rPr>
          <w:i/>
        </w:rPr>
        <w:t xml:space="preserve"> </w:t>
      </w:r>
      <w:proofErr w:type="gramStart"/>
      <w:r>
        <w:rPr>
          <w:i/>
        </w:rPr>
        <w:t>t</w:t>
      </w:r>
      <w:r>
        <w:t>(</w:t>
      </w:r>
      <w:proofErr w:type="gramEnd"/>
      <w:r>
        <w:t xml:space="preserve">591) = 2.45, </w:t>
      </w:r>
      <w:r>
        <w:rPr>
          <w:i/>
        </w:rPr>
        <w:t xml:space="preserve">p </w:t>
      </w:r>
      <w:r>
        <w:t>=.014, females (</w:t>
      </w:r>
      <w:r>
        <w:rPr>
          <w:i/>
        </w:rPr>
        <w:t>M</w:t>
      </w:r>
      <w:r>
        <w:t xml:space="preserve"> = 3.18) were higher than males (</w:t>
      </w:r>
      <w:r>
        <w:rPr>
          <w:i/>
        </w:rPr>
        <w:t xml:space="preserve">M </w:t>
      </w:r>
      <w:r>
        <w:t xml:space="preserve">= 3.11) in describing. </w:t>
      </w:r>
    </w:p>
    <w:p w14:paraId="563DA1F1" w14:textId="77777777" w:rsidR="00E61C47" w:rsidRDefault="00D266E3">
      <w:r>
        <w:rPr>
          <w:noProof/>
        </w:rPr>
        <w:drawing>
          <wp:inline distT="114300" distB="114300" distL="114300" distR="114300" wp14:anchorId="10B7103E" wp14:editId="59F6DC9C">
            <wp:extent cx="3467100" cy="2771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A79B6" w14:textId="77777777" w:rsidR="00E61C47" w:rsidRDefault="00E61C47">
      <w:pPr>
        <w:spacing w:line="240" w:lineRule="auto"/>
      </w:pPr>
    </w:p>
    <w:p w14:paraId="169C08D2" w14:textId="77777777" w:rsidR="00E61C47" w:rsidRDefault="00D266E3">
      <w:r>
        <w:rPr>
          <w:i/>
        </w:rPr>
        <w:t>Figure 2</w:t>
      </w:r>
      <w:r>
        <w:t xml:space="preserve">. Acting by </w:t>
      </w:r>
      <w:proofErr w:type="spellStart"/>
      <w:r>
        <w:t>bsex</w:t>
      </w:r>
      <w:proofErr w:type="spellEnd"/>
    </w:p>
    <w:p w14:paraId="42962510" w14:textId="15189D79" w:rsidR="00004683" w:rsidRDefault="00D266E3" w:rsidP="00004683">
      <w:r>
        <w:rPr>
          <w:i/>
        </w:rPr>
        <w:t>Note</w:t>
      </w:r>
      <w:r>
        <w:t xml:space="preserve">. There is significant difference in acting </w:t>
      </w:r>
      <w:proofErr w:type="gramStart"/>
      <w:r>
        <w:rPr>
          <w:i/>
        </w:rPr>
        <w:t>t</w:t>
      </w:r>
      <w:r>
        <w:t>(</w:t>
      </w:r>
      <w:proofErr w:type="gramEnd"/>
      <w:r>
        <w:t xml:space="preserve">591) = 2.16, </w:t>
      </w:r>
      <w:r>
        <w:rPr>
          <w:i/>
        </w:rPr>
        <w:t>p</w:t>
      </w:r>
      <w:r>
        <w:t xml:space="preserve"> = .031, females (</w:t>
      </w:r>
      <w:r>
        <w:rPr>
          <w:i/>
        </w:rPr>
        <w:t xml:space="preserve">M </w:t>
      </w:r>
      <w:r>
        <w:t>= 3.26) were higher than males (</w:t>
      </w:r>
      <w:r>
        <w:rPr>
          <w:i/>
        </w:rPr>
        <w:t>M</w:t>
      </w:r>
      <w:r>
        <w:t xml:space="preserve"> = 3.18) in acting. </w:t>
      </w:r>
    </w:p>
    <w:p w14:paraId="381B3972" w14:textId="77777777" w:rsidR="00004683" w:rsidRDefault="00004683" w:rsidP="00004683">
      <w:pPr>
        <w:spacing w:line="240" w:lineRule="auto"/>
        <w:jc w:val="center"/>
      </w:pPr>
    </w:p>
    <w:p w14:paraId="0777A575" w14:textId="77777777" w:rsidR="00004683" w:rsidRDefault="00004683" w:rsidP="00004683">
      <w:pPr>
        <w:shd w:val="clear" w:color="auto" w:fill="F8F8F8"/>
        <w:spacing w:after="200"/>
      </w:pPr>
      <w:r>
        <w:rPr>
          <w:b/>
          <w:color w:val="204A87"/>
        </w:rPr>
        <w:t>describe</w:t>
      </w:r>
      <w:r>
        <w:t>(</w:t>
      </w:r>
      <w:proofErr w:type="spellStart"/>
      <w:r>
        <w:t>mind_</w:t>
      </w:r>
      <w:proofErr w:type="gramStart"/>
      <w:r>
        <w:t>data,</w:t>
      </w:r>
      <w:r>
        <w:rPr>
          <w:color w:val="204A87"/>
        </w:rPr>
        <w:t>skew</w:t>
      </w:r>
      <w:proofErr w:type="spellEnd"/>
      <w:proofErr w:type="gramEnd"/>
      <w:r>
        <w:rPr>
          <w:color w:val="204A87"/>
        </w:rPr>
        <w:t>=</w:t>
      </w:r>
      <w:r>
        <w:t>F)</w:t>
      </w:r>
    </w:p>
    <w:p w14:paraId="14132138" w14:textId="77777777" w:rsidR="00004683" w:rsidRDefault="00004683" w:rsidP="00004683">
      <w:pPr>
        <w:pStyle w:val="SourceCode"/>
      </w:pPr>
      <w:r>
        <w:rPr>
          <w:rStyle w:val="VerbatimChar"/>
        </w:rPr>
        <w:t xml:space="preserve">           vars   n  mean    </w:t>
      </w:r>
      <w:proofErr w:type="spellStart"/>
      <w:r>
        <w:rPr>
          <w:rStyle w:val="VerbatimChar"/>
        </w:rPr>
        <w:t>sd</w:t>
      </w:r>
      <w:proofErr w:type="spellEnd"/>
      <w:r>
        <w:rPr>
          <w:rStyle w:val="VerbatimChar"/>
        </w:rPr>
        <w:t xml:space="preserve">  min max range   se</w:t>
      </w:r>
      <w:r>
        <w:br/>
      </w:r>
      <w:r>
        <w:rPr>
          <w:rStyle w:val="VerbatimChar"/>
        </w:rPr>
        <w:t>observing     1 593  3.52  0.68  1.2   5   3.8 0.03</w:t>
      </w:r>
      <w:r>
        <w:br/>
      </w:r>
      <w:r>
        <w:rPr>
          <w:rStyle w:val="VerbatimChar"/>
        </w:rPr>
        <w:t>describing    2 593  3.14  0.38  1.4   5   3.6 0.02</w:t>
      </w:r>
      <w:r>
        <w:br/>
      </w:r>
      <w:r>
        <w:rPr>
          <w:rStyle w:val="VerbatimChar"/>
        </w:rPr>
        <w:t>accepting     3 593  2.93  0.95  1.0   5   4.0 0.04</w:t>
      </w:r>
      <w:r>
        <w:br/>
      </w:r>
      <w:r>
        <w:rPr>
          <w:rStyle w:val="VerbatimChar"/>
        </w:rPr>
        <w:t>acting        4 593  3.22  0.43  1.3   5   3.7 0.02</w:t>
      </w:r>
      <w:r>
        <w:br/>
      </w:r>
      <w:r>
        <w:rPr>
          <w:rStyle w:val="VerbatimChar"/>
        </w:rPr>
        <w:t>age           5 593 38.57 15.21 14.0  85  71.0 0.62</w:t>
      </w:r>
      <w:r>
        <w:br/>
      </w:r>
      <w:proofErr w:type="spellStart"/>
      <w:r>
        <w:rPr>
          <w:rStyle w:val="VerbatimChar"/>
        </w:rPr>
        <w:t>bsex</w:t>
      </w:r>
      <w:proofErr w:type="spellEnd"/>
      <w:r>
        <w:rPr>
          <w:rStyle w:val="VerbatimChar"/>
        </w:rPr>
        <w:t>*         6 593  1.49  0.50  1.0   2   1.0 0.02</w:t>
      </w:r>
    </w:p>
    <w:p w14:paraId="3CEE1F29" w14:textId="77777777" w:rsidR="00004683" w:rsidRDefault="00004683" w:rsidP="00004683">
      <w:pPr>
        <w:shd w:val="clear" w:color="auto" w:fill="F8F8F8"/>
        <w:spacing w:after="200"/>
      </w:pPr>
    </w:p>
    <w:p w14:paraId="162E3C1E" w14:textId="77777777" w:rsidR="00004683" w:rsidRDefault="00004683" w:rsidP="00004683">
      <w:pPr>
        <w:rPr>
          <w:shd w:val="clear" w:color="auto" w:fill="F8F8F8"/>
        </w:rPr>
      </w:pPr>
      <w:r>
        <w:rPr>
          <w:b/>
          <w:color w:val="204A87"/>
          <w:shd w:val="clear" w:color="auto" w:fill="F8F8F8"/>
        </w:rPr>
        <w:t>describe</w:t>
      </w:r>
      <w:r>
        <w:rPr>
          <w:shd w:val="clear" w:color="auto" w:fill="F8F8F8"/>
        </w:rPr>
        <w:t>(</w:t>
      </w:r>
      <w:proofErr w:type="spellStart"/>
      <w:r>
        <w:rPr>
          <w:shd w:val="clear" w:color="auto" w:fill="F8F8F8"/>
        </w:rPr>
        <w:t>mind_data</w:t>
      </w:r>
      <w:proofErr w:type="spellEnd"/>
      <w:proofErr w:type="gramStart"/>
      <w:r>
        <w:rPr>
          <w:shd w:val="clear" w:color="auto" w:fill="F8F8F8"/>
        </w:rPr>
        <w:t>[,</w:t>
      </w:r>
      <w:proofErr w:type="spellStart"/>
      <w:r>
        <w:rPr>
          <w:shd w:val="clear" w:color="auto" w:fill="F8F8F8"/>
        </w:rPr>
        <w:t>vars</w:t>
      </w:r>
      <w:proofErr w:type="gramEnd"/>
      <w:r>
        <w:rPr>
          <w:shd w:val="clear" w:color="auto" w:fill="F8F8F8"/>
        </w:rPr>
        <w:t>_we_want</w:t>
      </w:r>
      <w:proofErr w:type="spellEnd"/>
      <w:r>
        <w:rPr>
          <w:shd w:val="clear" w:color="auto" w:fill="F8F8F8"/>
        </w:rPr>
        <w:t>],</w:t>
      </w:r>
      <w:r>
        <w:rPr>
          <w:color w:val="204A87"/>
          <w:shd w:val="clear" w:color="auto" w:fill="F8F8F8"/>
        </w:rPr>
        <w:t>skew=</w:t>
      </w:r>
      <w:r>
        <w:rPr>
          <w:shd w:val="clear" w:color="auto" w:fill="F8F8F8"/>
        </w:rPr>
        <w:t>F)</w:t>
      </w:r>
    </w:p>
    <w:p w14:paraId="06C504AC" w14:textId="77777777" w:rsidR="00004683" w:rsidRDefault="00004683" w:rsidP="00004683">
      <w:pPr>
        <w:pStyle w:val="SourceCode"/>
      </w:pPr>
      <w:r>
        <w:rPr>
          <w:rStyle w:val="VerbatimChar"/>
        </w:rPr>
        <w:t xml:space="preserve">           vars   </w:t>
      </w:r>
      <w:proofErr w:type="gramStart"/>
      <w:r>
        <w:rPr>
          <w:rStyle w:val="VerbatimChar"/>
        </w:rPr>
        <w:t>n  mean</w:t>
      </w:r>
      <w:proofErr w:type="gram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sd</w:t>
      </w:r>
      <w:proofErr w:type="spellEnd"/>
      <w:r>
        <w:rPr>
          <w:rStyle w:val="VerbatimChar"/>
        </w:rPr>
        <w:t xml:space="preserve">  min max range   se</w:t>
      </w:r>
      <w:r>
        <w:br/>
      </w:r>
      <w:r>
        <w:rPr>
          <w:rStyle w:val="VerbatimChar"/>
        </w:rPr>
        <w:t>age           1 593 38.57 15.21 14.0  85  71.0 0.62</w:t>
      </w:r>
      <w:r>
        <w:br/>
      </w:r>
      <w:r>
        <w:rPr>
          <w:rStyle w:val="VerbatimChar"/>
        </w:rPr>
        <w:t>observing     2 593  3.52  0.68  1.2   5   3.8 0.03</w:t>
      </w:r>
      <w:r>
        <w:br/>
      </w:r>
      <w:r>
        <w:rPr>
          <w:rStyle w:val="VerbatimChar"/>
        </w:rPr>
        <w:t>describing    3 593  3.14  0.38  1.4   5   3.6 0.02</w:t>
      </w:r>
      <w:r>
        <w:br/>
      </w:r>
      <w:r>
        <w:rPr>
          <w:rStyle w:val="VerbatimChar"/>
        </w:rPr>
        <w:t>accepting     4 593  2.93  0.95  1.0   5   4.0 0.04</w:t>
      </w:r>
      <w:r>
        <w:br/>
      </w:r>
      <w:r>
        <w:rPr>
          <w:rStyle w:val="VerbatimChar"/>
        </w:rPr>
        <w:t>acting        5 593  3.22  0.43  1.3   5   3.7 0.02</w:t>
      </w:r>
    </w:p>
    <w:p w14:paraId="4F50EFAF" w14:textId="77777777" w:rsidR="00004683" w:rsidRDefault="00004683" w:rsidP="00004683">
      <w:proofErr w:type="spellStart"/>
      <w:r>
        <w:rPr>
          <w:b/>
          <w:color w:val="204A87"/>
          <w:shd w:val="clear" w:color="auto" w:fill="F8F8F8"/>
        </w:rPr>
        <w:t>bartlett.</w:t>
      </w:r>
      <w:proofErr w:type="gramStart"/>
      <w:r>
        <w:rPr>
          <w:b/>
          <w:color w:val="204A87"/>
          <w:shd w:val="clear" w:color="auto" w:fill="F8F8F8"/>
        </w:rPr>
        <w:t>test</w:t>
      </w:r>
      <w:proofErr w:type="spellEnd"/>
      <w:r>
        <w:rPr>
          <w:shd w:val="clear" w:color="auto" w:fill="F8F8F8"/>
        </w:rPr>
        <w:t>(</w:t>
      </w:r>
      <w:proofErr w:type="spellStart"/>
      <w:proofErr w:type="gramEnd"/>
      <w:r>
        <w:rPr>
          <w:shd w:val="clear" w:color="auto" w:fill="F8F8F8"/>
        </w:rPr>
        <w:t>age</w:t>
      </w:r>
      <w:r>
        <w:rPr>
          <w:b/>
          <w:color w:val="CE5C00"/>
          <w:shd w:val="clear" w:color="auto" w:fill="F8F8F8"/>
        </w:rPr>
        <w:t>~</w:t>
      </w:r>
      <w:r>
        <w:rPr>
          <w:shd w:val="clear" w:color="auto" w:fill="F8F8F8"/>
        </w:rPr>
        <w:t>bsex</w:t>
      </w:r>
      <w:proofErr w:type="spellEnd"/>
      <w:r>
        <w:rPr>
          <w:shd w:val="clear" w:color="auto" w:fill="F8F8F8"/>
        </w:rPr>
        <w:t xml:space="preserve">, </w:t>
      </w:r>
      <w:r>
        <w:rPr>
          <w:color w:val="204A87"/>
          <w:shd w:val="clear" w:color="auto" w:fill="F8F8F8"/>
        </w:rPr>
        <w:t>data=</w:t>
      </w:r>
      <w:proofErr w:type="spellStart"/>
      <w:r>
        <w:rPr>
          <w:shd w:val="clear" w:color="auto" w:fill="F8F8F8"/>
        </w:rPr>
        <w:t>mind_data</w:t>
      </w:r>
      <w:proofErr w:type="spellEnd"/>
      <w:r>
        <w:rPr>
          <w:shd w:val="clear" w:color="auto" w:fill="F8F8F8"/>
        </w:rPr>
        <w:t>)</w:t>
      </w:r>
    </w:p>
    <w:p w14:paraId="6F07E510" w14:textId="77777777" w:rsidR="00004683" w:rsidRDefault="00004683" w:rsidP="00004683">
      <w:pPr>
        <w:pStyle w:val="SourceCode"/>
      </w:pPr>
      <w:r>
        <w:rPr>
          <w:rStyle w:val="VerbatimChar"/>
        </w:rPr>
        <w:t>Bartlett test of homogeneity of variances</w:t>
      </w:r>
      <w:r>
        <w:br/>
      </w:r>
      <w:r>
        <w:br/>
      </w:r>
      <w:r>
        <w:rPr>
          <w:rStyle w:val="VerbatimChar"/>
        </w:rPr>
        <w:t xml:space="preserve">data:  age by </w:t>
      </w:r>
      <w:proofErr w:type="spellStart"/>
      <w:r>
        <w:rPr>
          <w:rStyle w:val="VerbatimChar"/>
        </w:rPr>
        <w:t>bsex</w:t>
      </w:r>
      <w:proofErr w:type="spellEnd"/>
      <w:r>
        <w:br/>
      </w:r>
      <w:r>
        <w:rPr>
          <w:rStyle w:val="VerbatimChar"/>
        </w:rPr>
        <w:t>Bartlett's K-squared = 0.064995, df = 1, p-value = 0.7988</w:t>
      </w:r>
    </w:p>
    <w:p w14:paraId="1CEB8483" w14:textId="77777777" w:rsidR="00004683" w:rsidRDefault="00004683" w:rsidP="00004683">
      <w:pPr>
        <w:shd w:val="clear" w:color="auto" w:fill="F8F8F8"/>
        <w:spacing w:after="200"/>
      </w:pPr>
      <w:proofErr w:type="spellStart"/>
      <w:r>
        <w:rPr>
          <w:b/>
          <w:color w:val="204A87"/>
        </w:rPr>
        <w:t>t.</w:t>
      </w:r>
      <w:proofErr w:type="gramStart"/>
      <w:r>
        <w:rPr>
          <w:b/>
          <w:color w:val="204A87"/>
        </w:rPr>
        <w:t>test</w:t>
      </w:r>
      <w:proofErr w:type="spellEnd"/>
      <w:r>
        <w:t>(</w:t>
      </w:r>
      <w:proofErr w:type="spellStart"/>
      <w:proofErr w:type="gramEnd"/>
      <w:r>
        <w:t>age</w:t>
      </w:r>
      <w:r>
        <w:rPr>
          <w:b/>
          <w:color w:val="CE5C00"/>
        </w:rPr>
        <w:t>~</w:t>
      </w:r>
      <w:r>
        <w:t>bsex</w:t>
      </w:r>
      <w:proofErr w:type="spellEnd"/>
      <w:r>
        <w:t xml:space="preserve">, </w:t>
      </w:r>
      <w:r>
        <w:rPr>
          <w:color w:val="204A87"/>
        </w:rPr>
        <w:t>data=</w:t>
      </w:r>
      <w:proofErr w:type="spellStart"/>
      <w:r>
        <w:t>mind_data</w:t>
      </w:r>
      <w:proofErr w:type="spellEnd"/>
      <w:r>
        <w:t xml:space="preserve">, </w:t>
      </w:r>
      <w:proofErr w:type="spellStart"/>
      <w:r>
        <w:rPr>
          <w:color w:val="204A87"/>
        </w:rPr>
        <w:t>var.equal</w:t>
      </w:r>
      <w:proofErr w:type="spellEnd"/>
      <w:r>
        <w:rPr>
          <w:color w:val="204A87"/>
        </w:rPr>
        <w:t>=</w:t>
      </w:r>
      <w:r>
        <w:t>T)</w:t>
      </w:r>
    </w:p>
    <w:p w14:paraId="12474612" w14:textId="77777777" w:rsidR="00004683" w:rsidRDefault="00004683" w:rsidP="00004683">
      <w:pPr>
        <w:pStyle w:val="SourceCode"/>
        <w:rPr>
          <w:rStyle w:val="VerbatimChar"/>
        </w:rPr>
      </w:pPr>
      <w:r>
        <w:rPr>
          <w:rStyle w:val="VerbatimChar"/>
        </w:rPr>
        <w:t>Two Sample t-test</w:t>
      </w:r>
      <w:r>
        <w:br/>
      </w:r>
      <w:r>
        <w:br/>
      </w:r>
      <w:r>
        <w:rPr>
          <w:rStyle w:val="VerbatimChar"/>
        </w:rPr>
        <w:t xml:space="preserve">data:  age by </w:t>
      </w:r>
      <w:proofErr w:type="spellStart"/>
      <w:r>
        <w:rPr>
          <w:rStyle w:val="VerbatimChar"/>
        </w:rPr>
        <w:t>bsex</w:t>
      </w:r>
      <w:proofErr w:type="spellEnd"/>
      <w:r>
        <w:br/>
      </w:r>
      <w:r>
        <w:rPr>
          <w:rStyle w:val="VerbatimChar"/>
        </w:rPr>
        <w:t>t = 1.1369, df = 591, p-value = 0.256</w:t>
      </w:r>
      <w:r>
        <w:br/>
      </w:r>
      <w:r>
        <w:rPr>
          <w:rStyle w:val="VerbatimChar"/>
        </w:rPr>
        <w:t>alternative hypothesis: true difference in means is not equal to 0</w:t>
      </w:r>
      <w:r>
        <w:br/>
      </w:r>
      <w:r>
        <w:rPr>
          <w:rStyle w:val="VerbatimChar"/>
        </w:rPr>
        <w:t>95 percent confidence interval:</w:t>
      </w:r>
      <w:r>
        <w:br/>
      </w:r>
      <w:r>
        <w:rPr>
          <w:rStyle w:val="VerbatimChar"/>
        </w:rPr>
        <w:t xml:space="preserve"> -1.032981  3.872762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mean in group female   mean in group male </w:t>
      </w:r>
      <w:r>
        <w:br/>
      </w:r>
      <w:r>
        <w:rPr>
          <w:rStyle w:val="VerbatimChar"/>
        </w:rPr>
        <w:t xml:space="preserve">            39.26578             37.84589 </w:t>
      </w:r>
    </w:p>
    <w:p w14:paraId="5357E805" w14:textId="77777777" w:rsidR="00004683" w:rsidRDefault="00004683" w:rsidP="00004683">
      <w:pPr>
        <w:pStyle w:val="SourceCode"/>
      </w:pPr>
      <w:proofErr w:type="spellStart"/>
      <w:r>
        <w:rPr>
          <w:rStyle w:val="KeywordTok"/>
        </w:rPr>
        <w:t>t.</w:t>
      </w:r>
      <w:proofErr w:type="gramStart"/>
      <w:r>
        <w:rPr>
          <w:rStyle w:val="Keyword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observing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bsex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mind_data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var.equal</w:t>
      </w:r>
      <w:proofErr w:type="spellEnd"/>
      <w:r>
        <w:rPr>
          <w:rStyle w:val="DataTypeTok"/>
        </w:rPr>
        <w:t>=</w:t>
      </w:r>
      <w:r>
        <w:rPr>
          <w:rStyle w:val="NormalTok"/>
        </w:rPr>
        <w:t>T)</w:t>
      </w:r>
    </w:p>
    <w:p w14:paraId="6E6CEC98" w14:textId="77777777" w:rsidR="00004683" w:rsidRDefault="00004683" w:rsidP="00004683">
      <w:pPr>
        <w:pStyle w:val="SourceCode"/>
        <w:rPr>
          <w:rStyle w:val="VerbatimChar"/>
        </w:rPr>
      </w:pPr>
      <w:r>
        <w:rPr>
          <w:rStyle w:val="VerbatimChar"/>
        </w:rPr>
        <w:t>Two Sample t-test</w:t>
      </w:r>
      <w:r>
        <w:br/>
      </w:r>
      <w:r>
        <w:br/>
      </w:r>
      <w:r>
        <w:rPr>
          <w:rStyle w:val="VerbatimChar"/>
        </w:rPr>
        <w:t xml:space="preserve">data:  observing by </w:t>
      </w:r>
      <w:proofErr w:type="spellStart"/>
      <w:r>
        <w:rPr>
          <w:rStyle w:val="VerbatimChar"/>
        </w:rPr>
        <w:t>bsex</w:t>
      </w:r>
      <w:proofErr w:type="spellEnd"/>
      <w:r>
        <w:br/>
      </w:r>
      <w:r>
        <w:rPr>
          <w:rStyle w:val="VerbatimChar"/>
        </w:rPr>
        <w:t>t = 1.0583, df = 591, p-value = 0.2903</w:t>
      </w:r>
      <w:r>
        <w:br/>
      </w:r>
      <w:r>
        <w:rPr>
          <w:rStyle w:val="VerbatimChar"/>
        </w:rPr>
        <w:lastRenderedPageBreak/>
        <w:t>alternative hypothesis: true difference in means is not equal to 0</w:t>
      </w:r>
      <w:r>
        <w:br/>
      </w:r>
      <w:r>
        <w:rPr>
          <w:rStyle w:val="VerbatimChar"/>
        </w:rPr>
        <w:t>95 percent confidence interval:</w:t>
      </w:r>
      <w:r>
        <w:br/>
      </w:r>
      <w:r>
        <w:rPr>
          <w:rStyle w:val="VerbatimChar"/>
        </w:rPr>
        <w:t xml:space="preserve"> -0.05049649  0.16851406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mean in group female   mean in group male </w:t>
      </w:r>
      <w:r>
        <w:br/>
      </w:r>
      <w:r>
        <w:rPr>
          <w:rStyle w:val="VerbatimChar"/>
        </w:rPr>
        <w:t xml:space="preserve">            3.552159             3.493151</w:t>
      </w:r>
    </w:p>
    <w:p w14:paraId="63BD68D2" w14:textId="77777777" w:rsidR="00004683" w:rsidRDefault="00004683" w:rsidP="00004683">
      <w:pPr>
        <w:pStyle w:val="SourceCode"/>
      </w:pPr>
      <w:proofErr w:type="spellStart"/>
      <w:r>
        <w:rPr>
          <w:rStyle w:val="KeywordTok"/>
        </w:rPr>
        <w:t>t.</w:t>
      </w:r>
      <w:proofErr w:type="gramStart"/>
      <w:r>
        <w:rPr>
          <w:rStyle w:val="Keyword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describing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bsex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mind_data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var.equal</w:t>
      </w:r>
      <w:proofErr w:type="spellEnd"/>
      <w:r>
        <w:rPr>
          <w:rStyle w:val="DataTypeTok"/>
        </w:rPr>
        <w:t>=</w:t>
      </w:r>
      <w:r>
        <w:rPr>
          <w:rStyle w:val="NormalTok"/>
        </w:rPr>
        <w:t>T)</w:t>
      </w:r>
    </w:p>
    <w:p w14:paraId="746B25D0" w14:textId="77777777" w:rsidR="00004683" w:rsidRDefault="00004683" w:rsidP="00004683">
      <w:pPr>
        <w:pStyle w:val="SourceCode"/>
      </w:pPr>
      <w:r>
        <w:rPr>
          <w:rStyle w:val="VerbatimChar"/>
        </w:rPr>
        <w:t>Two Sample t-test</w:t>
      </w:r>
      <w:r>
        <w:br/>
      </w:r>
      <w:r>
        <w:br/>
      </w:r>
      <w:r>
        <w:rPr>
          <w:rStyle w:val="VerbatimChar"/>
        </w:rPr>
        <w:t xml:space="preserve">data:  describing by </w:t>
      </w:r>
      <w:proofErr w:type="spellStart"/>
      <w:r>
        <w:rPr>
          <w:rStyle w:val="VerbatimChar"/>
        </w:rPr>
        <w:t>bsex</w:t>
      </w:r>
      <w:proofErr w:type="spellEnd"/>
      <w:r>
        <w:br/>
      </w:r>
      <w:r>
        <w:rPr>
          <w:rStyle w:val="VerbatimChar"/>
        </w:rPr>
        <w:t>t = 2.4547, df = 591, p-value = 0.01439</w:t>
      </w:r>
      <w:r>
        <w:br/>
      </w:r>
      <w:r>
        <w:rPr>
          <w:rStyle w:val="VerbatimChar"/>
        </w:rPr>
        <w:t>alternative hypothesis: true difference in means is not equal to 0</w:t>
      </w:r>
      <w:r>
        <w:br/>
      </w:r>
      <w:r>
        <w:rPr>
          <w:rStyle w:val="VerbatimChar"/>
        </w:rPr>
        <w:t>95 percent confidence interval:</w:t>
      </w:r>
      <w:r>
        <w:br/>
      </w:r>
      <w:r>
        <w:rPr>
          <w:rStyle w:val="VerbatimChar"/>
        </w:rPr>
        <w:t xml:space="preserve"> 0.01537452 0.13843015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mean in group female   mean in group male </w:t>
      </w:r>
      <w:r>
        <w:br/>
      </w:r>
      <w:r>
        <w:rPr>
          <w:rStyle w:val="VerbatimChar"/>
        </w:rPr>
        <w:t xml:space="preserve">            3.182724             3.105822</w:t>
      </w:r>
    </w:p>
    <w:p w14:paraId="4D96A17C" w14:textId="77777777" w:rsidR="00004683" w:rsidRDefault="00004683" w:rsidP="00004683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describing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bsex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mind_data,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'light </w:t>
      </w:r>
      <w:proofErr w:type="spellStart"/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StringTok"/>
        </w:rPr>
        <w:t>'light</w:t>
      </w:r>
      <w:proofErr w:type="spellEnd"/>
      <w:r>
        <w:rPr>
          <w:rStyle w:val="StringTok"/>
        </w:rPr>
        <w:t xml:space="preserve"> green'</w:t>
      </w:r>
      <w:r>
        <w:rPr>
          <w:rStyle w:val="NormalTok"/>
        </w:rPr>
        <w:t>))</w:t>
      </w:r>
    </w:p>
    <w:p w14:paraId="26BDF4E1" w14:textId="77777777" w:rsidR="00004683" w:rsidRDefault="00004683" w:rsidP="00004683">
      <w:pPr>
        <w:shd w:val="clear" w:color="auto" w:fill="F8F8F8"/>
        <w:spacing w:after="200" w:line="240" w:lineRule="auto"/>
      </w:pPr>
      <w:r>
        <w:rPr>
          <w:noProof/>
        </w:rPr>
        <w:drawing>
          <wp:inline distT="0" distB="0" distL="0" distR="0" wp14:anchorId="488CEB6B" wp14:editId="6130380B">
            <wp:extent cx="2752928" cy="1984442"/>
            <wp:effectExtent l="0" t="0" r="3175" b="0"/>
            <wp:docPr id="5" name="Picture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3_Lab2_HypothesisTests_2020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345" cy="1996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68259E" w14:textId="77777777" w:rsidR="00004683" w:rsidRDefault="00004683" w:rsidP="00004683">
      <w:pPr>
        <w:pStyle w:val="SourceCode"/>
      </w:pPr>
      <w:proofErr w:type="spellStart"/>
      <w:r>
        <w:rPr>
          <w:rStyle w:val="KeywordTok"/>
        </w:rPr>
        <w:t>t.</w:t>
      </w:r>
      <w:proofErr w:type="gramStart"/>
      <w:r>
        <w:rPr>
          <w:rStyle w:val="Keyword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accepting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bsex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mind_data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var.equal</w:t>
      </w:r>
      <w:proofErr w:type="spellEnd"/>
      <w:r>
        <w:rPr>
          <w:rStyle w:val="DataTypeTok"/>
        </w:rPr>
        <w:t>=</w:t>
      </w:r>
      <w:r>
        <w:rPr>
          <w:rStyle w:val="NormalTok"/>
        </w:rPr>
        <w:t>T)</w:t>
      </w:r>
    </w:p>
    <w:p w14:paraId="1677FBFD" w14:textId="77777777" w:rsidR="00004683" w:rsidRDefault="00004683" w:rsidP="00004683"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accepting by </w:t>
      </w:r>
      <w:proofErr w:type="spellStart"/>
      <w:r>
        <w:rPr>
          <w:rStyle w:val="VerbatimChar"/>
        </w:rPr>
        <w:t>bsex</w:t>
      </w:r>
      <w:proofErr w:type="spellEnd"/>
      <w:r>
        <w:br/>
      </w:r>
      <w:r>
        <w:rPr>
          <w:rStyle w:val="VerbatimChar"/>
        </w:rPr>
        <w:t>t = 0.75893, df = 591, p-value = 0.4482</w:t>
      </w:r>
      <w:r>
        <w:br/>
      </w:r>
      <w:r>
        <w:rPr>
          <w:rStyle w:val="VerbatimChar"/>
        </w:rPr>
        <w:t>alternative hypothesis: true difference in means is not equal to 0</w:t>
      </w:r>
      <w:r>
        <w:br/>
      </w:r>
      <w:r>
        <w:rPr>
          <w:rStyle w:val="VerbatimChar"/>
        </w:rPr>
        <w:t>95 percent confidence interval:</w:t>
      </w:r>
      <w:r>
        <w:br/>
      </w:r>
      <w:r>
        <w:rPr>
          <w:rStyle w:val="VerbatimChar"/>
        </w:rPr>
        <w:t xml:space="preserve"> -0.09450718  0.21354645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mean in group female   mean in group male </w:t>
      </w:r>
      <w:r>
        <w:br/>
      </w:r>
      <w:r>
        <w:rPr>
          <w:rStyle w:val="VerbatimChar"/>
        </w:rPr>
        <w:t xml:space="preserve">            2.957807             2.898288 </w:t>
      </w:r>
    </w:p>
    <w:p w14:paraId="140AC75E" w14:textId="77777777" w:rsidR="00004683" w:rsidRDefault="00004683" w:rsidP="00004683">
      <w:pPr>
        <w:pStyle w:val="SourceCode"/>
      </w:pPr>
      <w:r>
        <w:rPr>
          <w:b/>
          <w:color w:val="204A87"/>
          <w:szCs w:val="22"/>
        </w:rPr>
        <w:t xml:space="preserve"> </w:t>
      </w:r>
      <w:proofErr w:type="spellStart"/>
      <w:r>
        <w:rPr>
          <w:rStyle w:val="KeywordTok"/>
        </w:rPr>
        <w:t>t.</w:t>
      </w:r>
      <w:proofErr w:type="gramStart"/>
      <w:r>
        <w:rPr>
          <w:rStyle w:val="Keyword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acting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bsex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mind_data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var.equal</w:t>
      </w:r>
      <w:proofErr w:type="spellEnd"/>
      <w:r>
        <w:rPr>
          <w:rStyle w:val="DataTypeTok"/>
        </w:rPr>
        <w:t>=</w:t>
      </w:r>
      <w:r>
        <w:rPr>
          <w:rStyle w:val="NormalTok"/>
        </w:rPr>
        <w:t>T)</w:t>
      </w:r>
    </w:p>
    <w:p w14:paraId="7C8F2C4C" w14:textId="77777777" w:rsidR="00004683" w:rsidRDefault="00004683" w:rsidP="00004683">
      <w:pPr>
        <w:pStyle w:val="SourceCode"/>
      </w:pPr>
      <w:r>
        <w:lastRenderedPageBreak/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acting by </w:t>
      </w:r>
      <w:proofErr w:type="spellStart"/>
      <w:r>
        <w:rPr>
          <w:rStyle w:val="VerbatimChar"/>
        </w:rPr>
        <w:t>bsex</w:t>
      </w:r>
      <w:proofErr w:type="spellEnd"/>
      <w:r>
        <w:br/>
      </w:r>
      <w:r>
        <w:rPr>
          <w:rStyle w:val="VerbatimChar"/>
        </w:rPr>
        <w:t>t = 2.1585, df = 591, p-value = 0.03129</w:t>
      </w:r>
      <w:r>
        <w:br/>
      </w:r>
      <w:r>
        <w:rPr>
          <w:rStyle w:val="VerbatimChar"/>
        </w:rPr>
        <w:t>alternative hypothesis: true difference in means is not equal to 0</w:t>
      </w:r>
      <w:r>
        <w:br/>
      </w:r>
      <w:r>
        <w:rPr>
          <w:rStyle w:val="VerbatimChar"/>
        </w:rPr>
        <w:t>95 percent confidence interval:</w:t>
      </w:r>
      <w:r>
        <w:br/>
      </w:r>
      <w:r>
        <w:rPr>
          <w:rStyle w:val="VerbatimChar"/>
        </w:rPr>
        <w:t xml:space="preserve"> 0.006787105 0.143861418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mean in group female   mean in group male </w:t>
      </w:r>
      <w:r>
        <w:br/>
      </w:r>
      <w:r>
        <w:rPr>
          <w:rStyle w:val="VerbatimChar"/>
        </w:rPr>
        <w:t xml:space="preserve">            3.256146             3.180822 </w:t>
      </w:r>
    </w:p>
    <w:p w14:paraId="1BA366EF" w14:textId="77777777" w:rsidR="00004683" w:rsidRDefault="00004683" w:rsidP="00004683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acting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bsex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mind_data,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'light </w:t>
      </w:r>
      <w:proofErr w:type="spellStart"/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StringTok"/>
        </w:rPr>
        <w:t>'light</w:t>
      </w:r>
      <w:proofErr w:type="spellEnd"/>
      <w:r>
        <w:rPr>
          <w:rStyle w:val="StringTok"/>
        </w:rPr>
        <w:t xml:space="preserve"> green'</w:t>
      </w:r>
      <w:r>
        <w:rPr>
          <w:rStyle w:val="NormalTok"/>
        </w:rPr>
        <w:t>))</w:t>
      </w:r>
    </w:p>
    <w:p w14:paraId="66B09419" w14:textId="77777777" w:rsidR="00004683" w:rsidRDefault="00004683" w:rsidP="00004683">
      <w:pPr>
        <w:pStyle w:val="FirstParagraph"/>
      </w:pPr>
      <w:r>
        <w:rPr>
          <w:noProof/>
        </w:rPr>
        <w:drawing>
          <wp:inline distT="0" distB="0" distL="0" distR="0" wp14:anchorId="11E2E57A" wp14:editId="488A26E0">
            <wp:extent cx="3219855" cy="2363821"/>
            <wp:effectExtent l="0" t="0" r="0" b="0"/>
            <wp:docPr id="7" name="Picture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3_Lab2_HypothesisTests_2020_files/figure-docx/unnamed-chunk-17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01" cy="2371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E628B" w14:textId="77777777" w:rsidR="00004683" w:rsidRDefault="00004683" w:rsidP="00004683">
      <w:pPr>
        <w:spacing w:line="240" w:lineRule="auto"/>
        <w:rPr>
          <w:b/>
          <w:color w:val="204A87"/>
          <w:sz w:val="22"/>
          <w:szCs w:val="22"/>
        </w:rPr>
      </w:pPr>
    </w:p>
    <w:p w14:paraId="518731B5" w14:textId="77777777" w:rsidR="00004683" w:rsidRDefault="00004683" w:rsidP="00004683">
      <w:pPr>
        <w:spacing w:line="240" w:lineRule="auto"/>
      </w:pPr>
    </w:p>
    <w:p w14:paraId="4A8AC3F8" w14:textId="77777777" w:rsidR="00004683" w:rsidRDefault="00004683" w:rsidP="00004683">
      <w:pPr>
        <w:spacing w:line="240" w:lineRule="auto"/>
      </w:pPr>
    </w:p>
    <w:p w14:paraId="69D1A6FC" w14:textId="77777777" w:rsidR="00004683" w:rsidRDefault="00004683">
      <w:pPr>
        <w:spacing w:line="240" w:lineRule="auto"/>
        <w:jc w:val="center"/>
        <w:rPr>
          <w:b/>
        </w:rPr>
      </w:pPr>
    </w:p>
    <w:p w14:paraId="418A93E3" w14:textId="77777777" w:rsidR="00E61C47" w:rsidRDefault="00E61C47">
      <w:pPr>
        <w:spacing w:line="240" w:lineRule="auto"/>
        <w:rPr>
          <w:b/>
        </w:rPr>
      </w:pPr>
    </w:p>
    <w:p w14:paraId="7C583ABC" w14:textId="77777777" w:rsidR="00E61C47" w:rsidRDefault="00E61C47">
      <w:pPr>
        <w:spacing w:line="240" w:lineRule="auto"/>
      </w:pPr>
    </w:p>
    <w:p w14:paraId="5FD2453E" w14:textId="77777777" w:rsidR="00E61C47" w:rsidRDefault="00E61C47">
      <w:pPr>
        <w:spacing w:line="240" w:lineRule="auto"/>
      </w:pPr>
    </w:p>
    <w:sectPr w:rsidR="00E61C47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16AA0" w14:textId="77777777" w:rsidR="007F78BF" w:rsidRDefault="007F78BF">
      <w:pPr>
        <w:spacing w:line="240" w:lineRule="auto"/>
      </w:pPr>
      <w:r>
        <w:separator/>
      </w:r>
    </w:p>
  </w:endnote>
  <w:endnote w:type="continuationSeparator" w:id="0">
    <w:p w14:paraId="1F54A7EC" w14:textId="77777777" w:rsidR="007F78BF" w:rsidRDefault="007F7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92A16" w14:textId="77777777" w:rsidR="00E61C47" w:rsidRDefault="00E61C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5C1F7" w14:textId="77777777" w:rsidR="007F78BF" w:rsidRDefault="007F78BF">
      <w:pPr>
        <w:spacing w:line="240" w:lineRule="auto"/>
      </w:pPr>
      <w:r>
        <w:separator/>
      </w:r>
    </w:p>
  </w:footnote>
  <w:footnote w:type="continuationSeparator" w:id="0">
    <w:p w14:paraId="44C65A11" w14:textId="77777777" w:rsidR="007F78BF" w:rsidRDefault="007F7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DAB61" w14:textId="77777777" w:rsidR="00E61C47" w:rsidRDefault="00D266E3">
    <w:pPr>
      <w:pBdr>
        <w:top w:val="nil"/>
        <w:left w:val="nil"/>
        <w:bottom w:val="nil"/>
        <w:right w:val="nil"/>
        <w:between w:val="nil"/>
      </w:pBdr>
      <w:spacing w:before="960"/>
    </w:pP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6F97E" w14:textId="77777777" w:rsidR="00E61C47" w:rsidRDefault="00E61C47">
    <w:pPr>
      <w:pBdr>
        <w:top w:val="nil"/>
        <w:left w:val="nil"/>
        <w:bottom w:val="nil"/>
        <w:right w:val="nil"/>
        <w:between w:val="nil"/>
      </w:pBdr>
      <w:spacing w:before="9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C47"/>
    <w:rsid w:val="00004683"/>
    <w:rsid w:val="00090833"/>
    <w:rsid w:val="007F78BF"/>
    <w:rsid w:val="0081345C"/>
    <w:rsid w:val="00B13A48"/>
    <w:rsid w:val="00CA4AAF"/>
    <w:rsid w:val="00D266E3"/>
    <w:rsid w:val="00E6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09784"/>
  <w15:docId w15:val="{783B8510-82D6-D541-9116-ECEDE624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VerbatimChar">
    <w:name w:val="Verbatim Char"/>
    <w:basedOn w:val="DefaultParagraphFont"/>
    <w:link w:val="SourceCode"/>
    <w:rsid w:val="00004683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04683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004683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004683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004683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004683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004683"/>
    <w:rPr>
      <w:rFonts w:ascii="Consolas" w:hAnsi="Consolas"/>
      <w:sz w:val="22"/>
      <w:shd w:val="clear" w:color="auto" w:fill="F8F8F8"/>
    </w:rPr>
  </w:style>
  <w:style w:type="paragraph" w:customStyle="1" w:styleId="FirstParagraph">
    <w:name w:val="First Paragraph"/>
    <w:basedOn w:val="BodyText"/>
    <w:next w:val="BodyText"/>
    <w:qFormat/>
    <w:rsid w:val="00004683"/>
    <w:pPr>
      <w:spacing w:before="180" w:after="180" w:line="240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046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4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Keys Le</cp:lastModifiedBy>
  <cp:revision>3</cp:revision>
  <dcterms:created xsi:type="dcterms:W3CDTF">2020-04-27T19:57:00Z</dcterms:created>
  <dcterms:modified xsi:type="dcterms:W3CDTF">2020-04-27T20:23:00Z</dcterms:modified>
</cp:coreProperties>
</file>