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color w:val="000000"/>
          <w:sz w:val="36"/>
        </w:rPr>
        <w:t>MPU6050 传感器通信与姿态解算实验报告</w:t>
      </w:r>
    </w:p>
    <w:p>
      <w:pPr>
        <w:spacing w:after="100"/>
        <w:jc w:val="center"/>
      </w:pPr>
      <w:r>
        <w:rPr>
          <w:rFonts w:ascii="SimSun" w:hAnsi="SimSun" w:eastAsia="SimSun"/>
          <w:b w:val="0"/>
          <w:color w:val="000000"/>
          <w:sz w:val="20"/>
        </w:rPr>
        <w:t>文件名占位：学号_姓名.pdf / 学号_姓名.docx</w:t>
      </w: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一、实验连接与采集设置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7"/>
              </w:rPr>
              <w:t>STM32 引脚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7"/>
              </w:rPr>
              <w:t>MPU6050 引脚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PB14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SCL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软件 I2C 时钟线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PB15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SDA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软件 I2C 数据线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3V3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VCC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传感器供电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GND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公共地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PA9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USART1_TX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串口输出 115200 8N1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PB9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INT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可选中断输入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rFonts w:ascii="SimSun" w:hAnsi="SimSun" w:eastAsia="SimSun"/>
          <w:b w:val="0"/>
          <w:color w:val="000000"/>
          <w:sz w:val="21"/>
        </w:rPr>
        <w:t>采样周期约 20 ms，对应更新频率约 50 Hz。根据实测安装方向，车体前后倾对应 DMP 的 Roll 轴，报告中的 Pitch 已按统一符号校正处理。</w:t>
      </w: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二、三种状态采集概况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状态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文件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有效样本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时长(s)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周期(ms)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频率(Hz)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Pitch DMP 范围(deg)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静止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static.csv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226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4.50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20.0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50.0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0.08 ~ 0.11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前倾/后倾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tilt.csv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296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5.90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20.0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50.0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-41.29 ~ 39.64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快速晃动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shake.csv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466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9.30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20.0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50.0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-70.95 ~ 32.96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三、静止原始数据记录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序号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ms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ax_raw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ay_raw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az_raw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gx_raw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gy_raw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gz_raw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5"/>
              </w:rPr>
              <w:t>pitch_dmp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68300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532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790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15840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-76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0.105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68320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502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758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15844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-71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0.102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68340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542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826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15838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-67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0.096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68360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574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942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-69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0.098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68380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512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890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15808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0.101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68400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514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810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15858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0.103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68420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518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838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15900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-68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0.099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68440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582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860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15896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-69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0.098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9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68460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494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852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15890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-73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0.102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68480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554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814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15800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-75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-25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5"/>
              </w:rPr>
              <w:t>0.101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四、零偏与噪声标准差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均值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零偏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标准差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6"/>
              </w:rPr>
              <w:t>说明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ax_g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0.033116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0.033116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0.002360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静止时 X 轴加速度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ay_g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0.051679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0.051679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0.003253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静止时 Y 轴加速度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az_g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0.967599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-0.032401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0.002679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静止时 Z 轴加速度，理想约 1 g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gx_dps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-4.337628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-4.337628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0.147279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陀螺 X 轴零偏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gy_dps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-1.502537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-1.502537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0.048791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陀螺 Y 轴零偏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gz_dps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0.037247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0.037247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0.047725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陀螺 Z 轴零偏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pitch_dmp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0.093332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0.093332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0.004710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DMP Pitch 稳定性</w:t>
            </w:r>
          </w:p>
        </w:tc>
      </w:tr>
      <w:tr>
        <w:tc>
          <w:tcPr>
            <w:tcW w:type="dxa" w:w="13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pitch_comp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7.302637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7.302637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0.006255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6"/>
              </w:rPr>
              <w:t>互补滤波 Pitch 稳定性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五、姿态曲线与方向验证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ic_pitch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imSun" w:hAnsi="SimSun" w:eastAsia="SimSun"/>
          <w:b w:val="0"/>
          <w:color w:val="000000"/>
          <w:sz w:val="18"/>
        </w:rPr>
        <w:t>图：静止状态下 DMP 与互补滤波 Pitch 曲线。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lt_pitch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imSun" w:hAnsi="SimSun" w:eastAsia="SimSun"/>
          <w:b w:val="0"/>
          <w:color w:val="000000"/>
          <w:sz w:val="18"/>
        </w:rPr>
        <w:t>图：前倾/后倾状态下 DMP 与互补滤波 Pitch 曲线。</w:t>
      </w:r>
    </w:p>
    <w:p>
      <w:r>
        <w:drawing>
          <wp:inline xmlns:a="http://schemas.openxmlformats.org/drawingml/2006/main" xmlns:pic="http://schemas.openxmlformats.org/drawingml/2006/picture">
            <wp:extent cx="5760720" cy="32469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ke_pitch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SimSun" w:hAnsi="SimSun" w:eastAsia="SimSun"/>
          <w:b w:val="0"/>
          <w:color w:val="000000"/>
          <w:sz w:val="18"/>
        </w:rPr>
        <w:t>图：快速晃动状态下 DMP 与互补滤波 Pitch 曲线。</w:t>
      </w:r>
    </w:p>
    <w:p>
      <w:pPr>
        <w:spacing w:after="100"/>
      </w:pPr>
      <w:r>
        <w:rPr>
          <w:rFonts w:ascii="SimSun" w:hAnsi="SimSun" w:eastAsia="SimSun"/>
          <w:b w:val="0"/>
          <w:color w:val="000000"/>
          <w:sz w:val="21"/>
        </w:rPr>
        <w:t>倾斜数据中，校正后的 pitch_dmp 范围为 -41.29° ~ 39.64°，覆盖前倾负角与后倾正角。原始采集方向与要求相反，因此采用统一输出符号校正，固件中对应设置 MPU_PITCH_OUTPUT_SIGN=-1。</w:t>
      </w:r>
    </w:p>
    <w:p>
      <w:r>
        <w:br w:type="page"/>
      </w: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六、DMP 与互补滤波对比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7"/>
              </w:rPr>
              <w:t>维度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7"/>
              </w:rPr>
              <w:t>DMP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/>
                <w:color w:val="000000"/>
                <w:sz w:val="17"/>
              </w:rPr>
              <w:t>互补滤波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噪声大小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静止段标准差 0.0047°，曲线最平稳。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静止段标准差 0.0063°，但存在固定角度偏置。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响应延迟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倾斜段变化较平滑，抗噪声强。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依赖陀螺积分和加速度修正，动态响应快但可能出现超调。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长期漂移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DMP 内部融合和校准后长期稳定性较好。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SimSun" w:hAnsi="SimSun" w:eastAsia="SimSun"/>
                <w:b w:val="0"/>
                <w:color w:val="000000"/>
                <w:sz w:val="17"/>
              </w:rPr>
              <w:t>陀螺积分项会累积漂移，需靠加速度低频修正拉回。</w:t>
            </w:r>
          </w:p>
        </w:tc>
      </w:tr>
    </w:tbl>
    <w:p>
      <w:pPr>
        <w:spacing w:after="40"/>
      </w:pPr>
    </w:p>
    <w:p>
      <w:pPr>
        <w:spacing w:before="200" w:after="100"/>
      </w:pPr>
      <w:r>
        <w:rPr>
          <w:rFonts w:ascii="SimHei" w:hAnsi="SimHei" w:eastAsia="SimHei"/>
          <w:b/>
          <w:color w:val="000000"/>
          <w:sz w:val="32"/>
        </w:rPr>
        <w:t>七、数据融合核心思想</w:t>
      </w:r>
    </w:p>
    <w:p>
      <w:pPr>
        <w:spacing w:after="100"/>
      </w:pPr>
      <w:r>
        <w:rPr>
          <w:rFonts w:ascii="SimSun" w:hAnsi="SimSun" w:eastAsia="SimSun"/>
          <w:b w:val="0"/>
          <w:color w:val="000000"/>
          <w:sz w:val="21"/>
        </w:rPr>
        <w:t>加速度计可以通过重力方向得到低频姿态参考，长期不漂移，但在快速运动时容易受线性加速度干扰；陀螺仪可以测量角速度，短时间响应快、动态连续，但积分后会产生漂移。姿态融合的核心是利用陀螺仪承担短时动态响应，利用加速度计提供长期参考校正，从而同时降低噪声、延迟和漂移。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