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E7B1" w14:textId="77777777" w:rsidR="00D43BAF" w:rsidRDefault="00D43BAF" w:rsidP="00D43BAF">
      <w:pPr>
        <w:pStyle w:val="Heading1"/>
      </w:pPr>
      <w:r>
        <w:t xml:space="preserve">A Pre-Homo sapiens Vowel Inventory Preserved in the </w:t>
      </w:r>
      <w:proofErr w:type="spellStart"/>
      <w:r>
        <w:rPr>
          <w:i/>
          <w:iCs/>
        </w:rPr>
        <w:t>Śivasūtras</w:t>
      </w:r>
      <w:proofErr w:type="spellEnd"/>
      <w:r>
        <w:t>: Evidence from Comparative Primatology and Hominin Vocal Tract Evolution</w:t>
      </w:r>
    </w:p>
    <w:p w14:paraId="56DA23F4" w14:textId="77777777" w:rsidR="00D43BAF" w:rsidRDefault="00D43BAF" w:rsidP="00D43BAF">
      <w:pPr>
        <w:pStyle w:val="FirstParagraph"/>
      </w:pPr>
      <w:r>
        <w:t>Keyur Joshi</w:t>
      </w:r>
    </w:p>
    <w:p w14:paraId="09A224E4" w14:textId="77777777" w:rsidR="00D43BAF" w:rsidRDefault="00D43BAF" w:rsidP="00D43BAF">
      <w:pPr>
        <w:pStyle w:val="FirstParagraph"/>
      </w:pPr>
      <w:r>
        <w:t xml:space="preserve">Independent Researcher, </w:t>
      </w:r>
      <w:proofErr w:type="spellStart"/>
      <w:r>
        <w:t>Amdavad</w:t>
      </w:r>
      <w:proofErr w:type="spellEnd"/>
      <w:r>
        <w:t>, Gujarat, India</w:t>
      </w:r>
    </w:p>
    <w:p w14:paraId="2C6E0783" w14:textId="77777777" w:rsidR="00D43BAF" w:rsidRDefault="00D43BAF" w:rsidP="00D43BAF">
      <w:pPr>
        <w:pStyle w:val="Heading2"/>
      </w:pPr>
      <w:bookmarkStart w:id="0" w:name="abstract"/>
      <w:r>
        <w:t>Abstract</w:t>
      </w:r>
    </w:p>
    <w:p w14:paraId="1422E769" w14:textId="77777777" w:rsidR="00D43BAF" w:rsidRDefault="00D43BAF" w:rsidP="00D43BAF">
      <w:pPr>
        <w:pStyle w:val="FirstParagraph"/>
        <w:jc w:val="both"/>
      </w:pPr>
      <w:r>
        <w:t xml:space="preserve">This paper estimates the </w:t>
      </w:r>
      <w:r>
        <w:rPr>
          <w:i/>
          <w:iCs/>
        </w:rPr>
        <w:t>terminus post quem</w:t>
      </w:r>
      <w:r>
        <w:t xml:space="preserve"> and </w:t>
      </w:r>
      <w:r>
        <w:rPr>
          <w:i/>
          <w:iCs/>
        </w:rPr>
        <w:t>terminus ante quem</w:t>
      </w:r>
      <w:r>
        <w:t xml:space="preserve"> for the phonemic inventory (</w:t>
      </w:r>
      <w:proofErr w:type="spellStart"/>
      <w:r>
        <w:rPr>
          <w:i/>
          <w:iCs/>
        </w:rPr>
        <w:t>varṇamālā</w:t>
      </w:r>
      <w:proofErr w:type="spellEnd"/>
      <w:r>
        <w:t xml:space="preserve">) preserved in the </w:t>
      </w:r>
      <w:proofErr w:type="spellStart"/>
      <w:r>
        <w:rPr>
          <w:i/>
          <w:iCs/>
        </w:rPr>
        <w:t>Śivasūtras</w:t>
      </w:r>
      <w:proofErr w:type="spellEnd"/>
      <w:r>
        <w:t xml:space="preserve"> using paleoanthropological evidence of vocal tract evolution.</w:t>
      </w:r>
    </w:p>
    <w:p w14:paraId="1A14712D" w14:textId="77777777" w:rsidR="00D43BAF" w:rsidRDefault="00D43BAF" w:rsidP="00D43BAF">
      <w:pPr>
        <w:pStyle w:val="BodyText"/>
        <w:jc w:val="both"/>
      </w:pPr>
      <w:r>
        <w:t xml:space="preserve">The provisional </w:t>
      </w:r>
      <w:r>
        <w:rPr>
          <w:i/>
          <w:iCs/>
        </w:rPr>
        <w:t>terminus post quem</w:t>
      </w:r>
      <w:r>
        <w:t xml:space="preserve"> (~7 Ma) is established by the phylogenetic emergence of consonantal production capacity at the </w:t>
      </w:r>
      <w:r>
        <w:rPr>
          <w:i/>
          <w:iCs/>
        </w:rPr>
        <w:t>Homo</w:t>
      </w:r>
      <w:r>
        <w:t>–</w:t>
      </w:r>
      <w:r>
        <w:rPr>
          <w:i/>
          <w:iCs/>
        </w:rPr>
        <w:t>Pan</w:t>
      </w:r>
      <w:r>
        <w:t xml:space="preserve"> divergence. The </w:t>
      </w:r>
      <w:r>
        <w:rPr>
          <w:i/>
          <w:iCs/>
        </w:rPr>
        <w:t>terminus ante quem</w:t>
      </w:r>
      <w:r>
        <w:t xml:space="preserve"> (~430 ka) is constrained by the loss of the anatomical ability to produce the vowels ऋ and ऌ as described in the </w:t>
      </w:r>
      <w:proofErr w:type="spellStart"/>
      <w:r>
        <w:rPr>
          <w:i/>
          <w:iCs/>
        </w:rPr>
        <w:t>Pāṇinīya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Śikṣā</w:t>
      </w:r>
      <w:proofErr w:type="spellEnd"/>
      <w:r>
        <w:t xml:space="preserve"> and </w:t>
      </w:r>
      <w:proofErr w:type="spellStart"/>
      <w:r>
        <w:rPr>
          <w:i/>
          <w:iCs/>
        </w:rPr>
        <w:t>Ṛgveda</w:t>
      </w:r>
      <w:proofErr w:type="spellEnd"/>
      <w:r>
        <w:rPr>
          <w:i/>
          <w:iCs/>
        </w:rPr>
        <w:t>–</w:t>
      </w:r>
      <w:proofErr w:type="spellStart"/>
      <w:r>
        <w:rPr>
          <w:i/>
          <w:iCs/>
        </w:rPr>
        <w:t>Prātiśākhya</w:t>
      </w:r>
      <w:proofErr w:type="spellEnd"/>
      <w:r>
        <w:t xml:space="preserve">. These vowels require tongue root articulation at the hard palate and teeth, respectively, which became anatomically impossible following laryngeal descent in </w:t>
      </w:r>
      <w:r>
        <w:rPr>
          <w:i/>
          <w:iCs/>
        </w:rPr>
        <w:t>Homo sapiens</w:t>
      </w:r>
      <w:r>
        <w:t>.</w:t>
      </w:r>
    </w:p>
    <w:p w14:paraId="1D469082" w14:textId="173893DC" w:rsidR="00D43BAF" w:rsidRDefault="00D43BAF" w:rsidP="00D43BAF">
      <w:pPr>
        <w:pStyle w:val="BodyText"/>
        <w:jc w:val="both"/>
      </w:pPr>
      <w:r>
        <w:t xml:space="preserve">The phonemic system preserved in the </w:t>
      </w:r>
      <w:proofErr w:type="spellStart"/>
      <w:r>
        <w:rPr>
          <w:i/>
          <w:iCs/>
        </w:rPr>
        <w:t>Śivasūtras</w:t>
      </w:r>
      <w:proofErr w:type="spellEnd"/>
      <w:r>
        <w:t xml:space="preserve"> thus reflects vocal tract constraints of pre-sapiens hominins, likely </w:t>
      </w:r>
      <w:r>
        <w:rPr>
          <w:i/>
          <w:iCs/>
        </w:rPr>
        <w:t>Homo erectus</w:t>
      </w:r>
      <w:r>
        <w:t xml:space="preserve"> or related species. This hypothesis generates falsifiable predictions through acoustic modeling of reconstructed </w:t>
      </w:r>
      <w:r>
        <w:rPr>
          <w:i/>
          <w:iCs/>
        </w:rPr>
        <w:t>Homo erectus sensu lato</w:t>
      </w:r>
      <w:r>
        <w:t xml:space="preserve"> vocal tracts and accounts for otherwise anomalous features including the absence of contrastive </w:t>
      </w:r>
      <w:r>
        <w:rPr>
          <w:rFonts w:ascii="Mangal" w:hAnsi="Mangal" w:cs="Mangal"/>
        </w:rPr>
        <w:t>आ</w:t>
      </w:r>
      <w:r>
        <w:t xml:space="preserve"> and retention of dual </w:t>
      </w:r>
      <w:r>
        <w:rPr>
          <w:rFonts w:ascii="Mangal" w:hAnsi="Mangal" w:cs="Mangal"/>
        </w:rPr>
        <w:t>ह</w:t>
      </w:r>
      <w:r>
        <w:t xml:space="preserve"> distinctions</w:t>
      </w:r>
      <w:r w:rsidR="00EB6827">
        <w:t xml:space="preserve"> in the </w:t>
      </w:r>
      <w:proofErr w:type="spellStart"/>
      <w:r w:rsidR="00EB6827">
        <w:t>the</w:t>
      </w:r>
      <w:proofErr w:type="spellEnd"/>
      <w:r w:rsidR="00EB6827">
        <w:t xml:space="preserve"> </w:t>
      </w:r>
      <w:proofErr w:type="spellStart"/>
      <w:r w:rsidR="00EB6827">
        <w:rPr>
          <w:i/>
          <w:iCs/>
        </w:rPr>
        <w:t>Śivasūtras</w:t>
      </w:r>
      <w:proofErr w:type="spellEnd"/>
      <w:r>
        <w:t>.</w:t>
      </w:r>
    </w:p>
    <w:p w14:paraId="372297CE" w14:textId="77777777" w:rsidR="00D43BAF" w:rsidRDefault="00D43BAF" w:rsidP="00D43BAF">
      <w:pPr>
        <w:pStyle w:val="BodyText"/>
        <w:jc w:val="both"/>
      </w:pPr>
      <w:r>
        <w:t xml:space="preserve">Cultural transmission of this inherited phonemic system through at least 430,000 years of linguistic continuity was maintained through structured teaching practices, with the </w:t>
      </w:r>
      <w:proofErr w:type="spellStart"/>
      <w:r>
        <w:rPr>
          <w:i/>
          <w:iCs/>
        </w:rPr>
        <w:t>Śivasūtras</w:t>
      </w:r>
      <w:proofErr w:type="spellEnd"/>
      <w:r>
        <w:t xml:space="preserve"> representing a systematic formalization of humanity’s phylogenetically deepest language substrate.</w:t>
      </w:r>
    </w:p>
    <w:p w14:paraId="71E57D92" w14:textId="77777777" w:rsidR="00D43BAF" w:rsidRDefault="00D43BAF" w:rsidP="00D43BAF">
      <w:pPr>
        <w:pStyle w:val="BodyText"/>
        <w:jc w:val="both"/>
      </w:pPr>
    </w:p>
    <w:p w14:paraId="663737D2" w14:textId="77777777" w:rsidR="00D43BAF" w:rsidRDefault="00D43BAF" w:rsidP="00D43BAF">
      <w:pPr>
        <w:pStyle w:val="BodyText"/>
        <w:jc w:val="both"/>
      </w:pPr>
    </w:p>
    <w:p w14:paraId="21D41769" w14:textId="77777777" w:rsidR="00D43BAF" w:rsidRDefault="00D43BAF" w:rsidP="00D43BAF">
      <w:pPr>
        <w:pStyle w:val="BodyText"/>
        <w:jc w:val="both"/>
      </w:pPr>
    </w:p>
    <w:bookmarkEnd w:id="0"/>
    <w:p w14:paraId="753A0B77" w14:textId="77777777" w:rsidR="00D43BAF" w:rsidRPr="00D43BAF" w:rsidRDefault="00D43BAF" w:rsidP="00D43BAF"/>
    <w:sectPr w:rsidR="00D43BAF" w:rsidRPr="00D43BAF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20C72" w14:textId="77777777" w:rsidR="00DF153B" w:rsidRDefault="00DF153B" w:rsidP="00D43BAF">
      <w:pPr>
        <w:spacing w:after="0" w:line="240" w:lineRule="auto"/>
      </w:pPr>
      <w:r>
        <w:separator/>
      </w:r>
    </w:p>
  </w:endnote>
  <w:endnote w:type="continuationSeparator" w:id="0">
    <w:p w14:paraId="7C0A3C2D" w14:textId="77777777" w:rsidR="00DF153B" w:rsidRDefault="00DF153B" w:rsidP="00D43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E94F5" w14:textId="77777777" w:rsidR="00D43BAF" w:rsidRDefault="00D43BAF" w:rsidP="00D43BAF">
    <w:pPr>
      <w:pStyle w:val="Footer"/>
    </w:pPr>
    <w:r w:rsidRPr="007C327A">
      <w:t>© 2026 Keyur Joshi. Licensed under CC BY 4.0.</w:t>
    </w:r>
  </w:p>
  <w:p w14:paraId="3A70EADC" w14:textId="728E1FDB" w:rsidR="00D43BAF" w:rsidRDefault="00D43BAF" w:rsidP="00D43BAF">
    <w:pPr>
      <w:pStyle w:val="Header"/>
    </w:pPr>
    <w:r>
      <w:t xml:space="preserve">DOI: </w:t>
    </w:r>
    <w:r w:rsidRPr="00CE7971">
      <w:t>https://doi.org/10.5281/zenodo.18650283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C5B99" w14:textId="77777777" w:rsidR="00DF153B" w:rsidRDefault="00DF153B" w:rsidP="00D43BAF">
      <w:pPr>
        <w:spacing w:after="0" w:line="240" w:lineRule="auto"/>
      </w:pPr>
      <w:r>
        <w:separator/>
      </w:r>
    </w:p>
  </w:footnote>
  <w:footnote w:type="continuationSeparator" w:id="0">
    <w:p w14:paraId="4537E742" w14:textId="77777777" w:rsidR="00DF153B" w:rsidRDefault="00DF153B" w:rsidP="00D43B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AF"/>
    <w:rsid w:val="00986BBE"/>
    <w:rsid w:val="00B244D6"/>
    <w:rsid w:val="00CA63AD"/>
    <w:rsid w:val="00CC27C3"/>
    <w:rsid w:val="00D43BAF"/>
    <w:rsid w:val="00D45CED"/>
    <w:rsid w:val="00DD0290"/>
    <w:rsid w:val="00DF153B"/>
    <w:rsid w:val="00EB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A967F"/>
  <w15:chartTrackingRefBased/>
  <w15:docId w15:val="{A34EA7E9-069A-43CB-82CF-6CE4301D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A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D43BAF"/>
    <w:pPr>
      <w:spacing w:before="180" w:after="18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D43BAF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43BAF"/>
  </w:style>
  <w:style w:type="paragraph" w:styleId="Header">
    <w:name w:val="header"/>
    <w:basedOn w:val="Normal"/>
    <w:link w:val="HeaderChar"/>
    <w:unhideWhenUsed/>
    <w:rsid w:val="00D43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43BAF"/>
  </w:style>
  <w:style w:type="paragraph" w:styleId="Footer">
    <w:name w:val="footer"/>
    <w:basedOn w:val="Normal"/>
    <w:link w:val="FooterChar"/>
    <w:uiPriority w:val="99"/>
    <w:unhideWhenUsed/>
    <w:rsid w:val="00D43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Eebn joshi</dc:creator>
  <cp:keywords/>
  <dc:description/>
  <cp:lastModifiedBy>Eebn joshi</cp:lastModifiedBy>
  <cp:revision>2</cp:revision>
  <dcterms:created xsi:type="dcterms:W3CDTF">2026-02-17T06:25:00Z</dcterms:created>
  <dcterms:modified xsi:type="dcterms:W3CDTF">2026-02-17T08:47:00Z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6b90f86d-7dec-4059-b35b-1855a7411ce7</vt:lpwstr>
  </property>
</Properties>
</file>