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B57"/>
          <w:sz w:val="56"/>
          <w:szCs w:val="56"/>
        </w:rPr>
        <w:t xml:space="preserve">SkillMatch</w:t>
      </w:r>
    </w:p>
    <w:p>
      <w:pPr>
        <w:spacing w:after="60"/>
      </w:pPr>
      <w:r>
        <w:rPr>
          <w:color w:val="5F5E5A"/>
          <w:sz w:val="28"/>
          <w:szCs w:val="28"/>
        </w:rPr>
        <w:t xml:space="preserve">Technical architecture and build plan</w:t>
      </w:r>
    </w:p>
    <w:p>
      <w:pPr>
        <w:spacing w:after="320"/>
      </w:pPr>
      <w:r>
        <w:rPr>
          <w:i/>
          <w:iCs/>
          <w:color w:val="5F5E5A"/>
          <w:sz w:val="22"/>
          <w:szCs w:val="22"/>
        </w:rPr>
        <w:t xml:space="preserve">Solo build • low/no budget • AI-based matching</w:t>
      </w:r>
    </w:p>
    <w:p>
      <w:pPr>
        <w:pBdr>
          <w:bottom w:val="single" w:color="1F3B57" w:sz="6" w:space="1"/>
        </w:pBdr>
        <w:spacing w:after="240"/>
      </w:pPr>
    </w:p>
    <w:p>
      <w:pPr>
        <w:pStyle w:val="Heading1"/>
        <w:spacing w:after="160" w:before="320"/>
      </w:pPr>
      <w:r>
        <w:t xml:space="preserve">Overview</w:t>
      </w:r>
    </w:p>
    <w:p>
      <w:pPr>
        <w:spacing w:after="160"/>
      </w:pPr>
      <w:r>
        <w:t xml:space="preserve">SkillMatch helps young people find internships and practical opportunities by matching candidate profiles to postings using AI-driven similarity search. This document lays out a stack that a solo, experienced developer can build and run entirely on free tiers, with a clear upgrade path once the product has real users or starts generating revenue.</w:t>
      </w:r>
    </w:p>
    <w:p>
      <w:pPr>
        <w:pStyle w:val="Heading1"/>
        <w:spacing w:after="160" w:before="320"/>
      </w:pPr>
      <w:r>
        <w:t xml:space="preserve">Architecture at a glance</w:t>
      </w:r>
    </w:p>
    <w:p>
      <w:pPr>
        <w:spacing w:after="160"/>
      </w:pPr>
      <w:r>
        <w:t xml:space="preserve">Three tiers: a Next.js client, a Next.js application layer hosted on Vercel, and a Supabase backend that handles data, authentication, storage, and vector search. The application layer calls a free Hugging Face embeddings endpoint to turn profile and posting text into vectors for matching.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Browser / mobile app → sends requests to the Next.js app.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Next.js app (Vercel) → renders pages, exposes API routes, orchestrates auth and matching.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Postgres + pgvector (Supabase) → stores structured data and embeddings, runs similarity search.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Auth and storage (Supabase) → handles login sessions and file uploads (resumes, images).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Embeddings API (Hugging Face) → converts text into vectors on demand.</w:t>
      </w:r>
    </w:p>
    <w:p>
      <w:pPr>
        <w:pStyle w:val="Heading1"/>
        <w:spacing w:after="160" w:before="320"/>
      </w:pPr>
      <w:r>
        <w:t xml:space="preserve">Recommended tech stack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00"/>
      </w:tblGrid>
      <w:tr>
        <w:tc>
          <w:tcPr>
            <w:tcW w:type="dxa" w:w="2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4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Frontend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(React) + Tailwind CSS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Pages, routing, API routes, and styling in one framework</w:t>
            </w:r>
          </w:p>
        </w:tc>
      </w:tr>
      <w:tr>
        <w:tc>
          <w:tcPr>
            <w:tcW w:type="dxa" w:w="2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Hosting</w:t>
            </w:r>
          </w:p>
        </w:tc>
        <w:tc>
          <w:tcPr>
            <w:tcW w:type="dxa" w:w="3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 (Hobby / free tier)</w:t>
            </w:r>
          </w:p>
        </w:tc>
        <w:tc>
          <w:tcPr>
            <w:tcW w:type="dxa" w:w="4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Zero-config deploys from GitHub, free for non-commercial use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Database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Postgres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Core data: users, profiles, opportunities, applications</w:t>
            </w:r>
          </w:p>
        </w:tc>
      </w:tr>
      <w:tr>
        <w:tc>
          <w:tcPr>
            <w:tcW w:type="dxa" w:w="2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AI matching</w:t>
            </w:r>
          </w:p>
        </w:tc>
        <w:tc>
          <w:tcPr>
            <w:tcW w:type="dxa" w:w="3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pgvector (Supabase extension)</w:t>
            </w:r>
          </w:p>
        </w:tc>
        <w:tc>
          <w:tcPr>
            <w:tcW w:type="dxa" w:w="4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Stores embeddings, runs cosine-similarity match search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Embeddings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Hugging Face Serverless Inference API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Free-tier model calls that turn text into vectors</w:t>
            </w:r>
          </w:p>
        </w:tc>
      </w:tr>
      <w:tr>
        <w:tc>
          <w:tcPr>
            <w:tcW w:type="dxa" w:w="2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Auth</w:t>
            </w:r>
          </w:p>
        </w:tc>
        <w:tc>
          <w:tcPr>
            <w:tcW w:type="dxa" w:w="3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Auth</w:t>
            </w:r>
          </w:p>
        </w:tc>
        <w:tc>
          <w:tcPr>
            <w:tcW w:type="dxa" w:w="4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Email/social login, session management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 storage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Storage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Resumes, CVs, profile images</w:t>
            </w:r>
          </w:p>
        </w:tc>
      </w:tr>
      <w:tr>
        <w:tc>
          <w:tcPr>
            <w:tcW w:type="dxa" w:w="2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CI/CD</w:t>
            </w:r>
          </w:p>
        </w:tc>
        <w:tc>
          <w:tcPr>
            <w:tcW w:type="dxa" w:w="3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GitHub + GitHub Actions</w:t>
            </w:r>
          </w:p>
        </w:tc>
        <w:tc>
          <w:tcPr>
            <w:tcW w:type="dxa" w:w="4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Auto-deploy on push, free for public and most private repos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Email</w:t>
            </w:r>
          </w:p>
        </w:tc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Resend (free tier)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Signup confirmations, application notifications</w:t>
            </w:r>
          </w:p>
        </w:tc>
      </w:tr>
      <w:tr>
        <w:tc>
          <w:tcPr>
            <w:tcW w:type="dxa" w:w="2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Monitoring</w:t>
            </w:r>
          </w:p>
        </w:tc>
        <w:tc>
          <w:tcPr>
            <w:tcW w:type="dxa" w:w="3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Sentry (free tier)</w:t>
            </w:r>
          </w:p>
        </w:tc>
        <w:tc>
          <w:tcPr>
            <w:tcW w:type="dxa" w:w="4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Error tracking once real users are on the app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t xml:space="preserve">Why this stack fits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Zero fixed cost: every core service (Vercel, Supabase, Hugging Face, Resend, Sentry) has a workable free 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separate vector database: pgvector runs inside the Supabase Postgres you already have.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deploy target: pushing to GitHub auto-deploys the whole app through Vercel.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Clear upgrade path: swap Hugging Face embeddings for OpenAI's text-embedding-3-small, or move Vercel to Pro, only once usage justifies the cost.</w:t>
      </w:r>
    </w:p>
    <w:p>
      <w:pPr>
        <w:pStyle w:val="Heading1"/>
        <w:spacing w:after="160" w:before="320"/>
      </w:pPr>
      <w:r>
        <w:t xml:space="preserve">Caveats to plan around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Hobby is free but restricted to personal, non-commercial use — charging employers to post internships means upgrading to Pro ($20/month).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free projects pause automatically after 7 days without API requests; a lightweight uptime check (free GitHub Actions cron or UptimeRobot) avoids surprise downtime.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Hugging Face's free Inference API is rate-limited and shared infrastructure — fine for prototyping, but expect to move to a paid tier or OpenAI embeddings once matching volume grows.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free tier caps: 500 MB database, 1 GB file storage, 50,000 monthly active users — generous for an MVP, worth monitoring as the user base grows.</w:t>
      </w:r>
    </w:p>
    <w:p>
      <w:pPr>
        <w:pStyle w:val="Heading1"/>
        <w:spacing w:after="160" w:before="320"/>
      </w:pPr>
      <w:r>
        <w:t xml:space="preserve">Suggested build order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Scaffold the Next.js + Tailwind project, push to GitHub, connect the repo to Vercel.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the Supabase project and core schema: users, profiles, opportunities, applications.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Enable the pgvector extension and add an embedding column to profiles and opportunities.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Wire up Supabase Auth for signup and login.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a serverless function (Vercel API route) that calls the Hugging Face embeddings endpoint whenever a profile or posting is created or updated, and writes the vector back to Supabase.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Build the match query: cosine similarity search in pgvector, ranked results in the UI.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resume/file uploads via Supabase Storage.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Resend for transactional email and Sentry for error monitoring before launch.</w:t>
      </w:r>
    </w:p>
    <w:p>
      <w:pPr>
        <w:pStyle w:val="Heading1"/>
        <w:spacing w:after="160" w:before="320"/>
      </w:pPr>
      <w:r>
        <w:t xml:space="preserve">UI/UX design system</w:t>
      </w:r>
    </w:p>
    <w:p>
      <w:pPr>
        <w:spacing w:after="160"/>
      </w:pPr>
      <w:r>
        <w:t xml:space="preserve">SkillMatch's visual identity is grounded in the metaphor of an application getting reviewed and stamped: index-card-style opportunity listings, highlighter-marked matches, and an ink-and-paper palette that reads as credible to employers while staying energetic for a young audience.</w:t>
      </w:r>
    </w:p>
    <w:p>
      <w:pPr>
        <w:pStyle w:val="Heading2"/>
        <w:spacing w:after="120" w:before="240"/>
      </w:pPr>
      <w:r>
        <w:t xml:space="preserve">Color palette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5000"/>
      </w:tblGrid>
      <w:tr>
        <w:tc>
          <w:tcPr>
            <w:tcW w:type="dxa" w:w="24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Token</w:t>
            </w:r>
          </w:p>
        </w:tc>
        <w:tc>
          <w:tcPr>
            <w:tcW w:type="dxa" w:w="2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50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400"/>
            <w:shd w:fill="1D2B4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Ink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#1D2B4F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text, nav, headings</w:t>
            </w:r>
          </w:p>
        </w:tc>
      </w:tr>
      <w:tr>
        <w:tc>
          <w:tcPr>
            <w:tcW w:type="dxa" w:w="2400"/>
            <w:shd w:fill="F5F6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2B4F"/>
              </w:rPr>
              <w:t xml:space="preserve">Paper</w:t>
            </w:r>
          </w:p>
        </w:tc>
        <w:tc>
          <w:tcPr>
            <w:tcW w:type="dxa" w:w="2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#F5F6F2</w:t>
            </w:r>
          </w:p>
        </w:tc>
        <w:tc>
          <w:tcPr>
            <w:tcW w:type="dxa" w:w="50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Page background</w:t>
            </w:r>
          </w:p>
        </w:tc>
      </w:tr>
      <w:tr>
        <w:tc>
          <w:tcPr>
            <w:tcW w:type="dxa" w:w="2400"/>
            <w:shd w:fill="D7FF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D2B4F"/>
              </w:rPr>
              <w:t xml:space="preserve">Highlighter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#D7FF3D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Primary CTA, the match accent (use sparingly)</w:t>
            </w:r>
          </w:p>
        </w:tc>
      </w:tr>
      <w:tr>
        <w:tc>
          <w:tcPr>
            <w:tcW w:type="dxa" w:w="2400"/>
            <w:shd w:fill="FF5A3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Signal coral</w:t>
            </w:r>
          </w:p>
        </w:tc>
        <w:tc>
          <w:tcPr>
            <w:tcW w:type="dxa" w:w="2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#FF5A3C</w:t>
            </w:r>
          </w:p>
        </w:tc>
        <w:tc>
          <w:tcPr>
            <w:tcW w:type="dxa" w:w="50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Deadlines, urgency tags, error states</w:t>
            </w:r>
          </w:p>
        </w:tc>
      </w:tr>
      <w:tr>
        <w:tc>
          <w:tcPr>
            <w:tcW w:type="dxa" w:w="2400"/>
            <w:shd w:fill="16866B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Verified teal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#16866B</w:t>
            </w:r>
          </w:p>
        </w:tc>
        <w:tc>
          <w:tcPr>
            <w:tcW w:type="dxa" w:w="5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Success and matched state, confirmations</w:t>
            </w:r>
          </w:p>
        </w:tc>
      </w:tr>
      <w:tr>
        <w:tc>
          <w:tcPr>
            <w:tcW w:type="dxa" w:w="2400"/>
            <w:shd w:fill="8A8F9C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Slate</w:t>
            </w:r>
          </w:p>
        </w:tc>
        <w:tc>
          <w:tcPr>
            <w:tcW w:type="dxa" w:w="2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#8A8F9C</w:t>
            </w:r>
          </w:p>
        </w:tc>
        <w:tc>
          <w:tcPr>
            <w:tcW w:type="dxa" w:w="50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Borders, secondary text, dividers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Highlighter is the signature accent: it should only appear on things that represent an actual match or primary action — the match-percentage stamp, and one primary call-to-action per screen. Everything else stays quiet (ink, paper, slate) so that single color keeps its meaning instead of becoming wallpaper.</w:t>
      </w:r>
    </w:p>
    <w:p>
      <w:pPr>
        <w:pStyle w:val="Heading2"/>
        <w:spacing w:after="120" w:before="240"/>
      </w:pPr>
      <w:r>
        <w:t xml:space="preserve">Typography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— Space Grotesk (medium/bold): headlines and opportunity titles. Geometric with a technical edge; credible without being corporate.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Body — Inter (regular/medium): profile text, descriptions, forms. Neutral and legible at small sizes on mobile.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Utility / mono — IBM Plex Mono (medium): match percentages, deadlines, tags. Gives stats a “stamped code” feel that reinforces the brand metaphor.</w:t>
      </w:r>
    </w:p>
    <w:p>
      <w:pPr>
        <w:pStyle w:val="Heading2"/>
        <w:spacing w:after="120" w:before="240"/>
      </w:pPr>
      <w:r>
        <w:t xml:space="preserve">Signature element</w:t>
      </w:r>
    </w:p>
    <w:p>
      <w:pPr>
        <w:spacing w:after="160"/>
      </w:pPr>
      <w:r>
        <w:t xml:space="preserve">A rotated circular “match stamp” badge in Highlighter, tilted 3–4°, showing the match percentage on each opportunity card — like a hand-stamped seal of approval. This is the one recurring visual moment that should make the product instantly recognizable as SkillMatch.</w:t>
      </w:r>
    </w:p>
    <w:p>
      <w:pPr>
        <w:pStyle w:val="Heading2"/>
        <w:spacing w:after="120" w:before="240"/>
      </w:pPr>
      <w:r>
        <w:t xml:space="preserve">Component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Corner radius: 8px on buttons and tags, 12–16px on cards — soft enough to feel approachable without reading as childish.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Spacing scale: 4 / 8 / 12 / 16 / 24 / 32px — stick to multiples of 4 throughout.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Buttons: solid Ink background with Paper text for primary actions (e.g. “Apply now”). Reserve Highlighter for the match stamp and a single primary CTA per screen — never two Highlighter elements competing on one 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Tags and pills: light tint background (10–15% of the semantic color) with the 700–800 shade of that color as text, so tags stay legible and quiet.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Cards: white surface, 0.5px Slate border, 12–16px radius, 16–20px padding — mirrors the index-card metaphor.</w:t>
      </w:r>
    </w:p>
    <w:p>
      <w:pPr>
        <w:pStyle w:val="Heading2"/>
        <w:spacing w:after="120" w:before="240"/>
      </w:pPr>
      <w:r>
        <w:t xml:space="preserve">Accessibility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Ink (#1D2B4F) on Paper (#F5F6F2) gives roughly 12:1 contrast — comfortably passes AA/AAA for body text.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Never place body text directly on Highlighter (#D7FF3D) — it is light and high-chroma. Use Ink text on it only for large or bold labels (like the stamp’s percentage), and check contrast case by case.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Signal coral and Verified teal both pass AA for normal-size text against Paper; avoid placing them directly against each other, since both are mid-saturation and low-contrast together.</w:t>
      </w:r>
    </w:p>
    <w:p>
      <w:pPr>
        <w:pStyle w:val="Heading2"/>
        <w:spacing w:after="120" w:before="240"/>
      </w:pPr>
      <w:r>
        <w:t xml:space="preserve">Dark mode</w:t>
      </w:r>
    </w:p>
    <w:p>
      <w:pPr>
        <w:spacing w:after="160"/>
      </w:pPr>
      <w:r>
        <w:t xml:space="preserve">If a dark variant is built later, Ink and Paper are the pair that flips (dark surface ≈ #12182B, text ≈ #EDEEE8). Highlighter stays fixed as the one accent that does not change between modes — it is the brand’s signature color in either theme.</w:t>
      </w:r>
    </w:p>
    <w:p>
      <w:pPr>
        <w:pStyle w:val="Heading1"/>
        <w:spacing w:after="160" w:before="320"/>
      </w:pPr>
      <w:r>
        <w:t xml:space="preserve">Documentation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800"/>
      </w:tblGrid>
      <w:tr>
        <w:tc>
          <w:tcPr>
            <w:tcW w:type="dxa" w:w="26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42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What it covers</w:t>
            </w:r>
          </w:p>
        </w:tc>
        <w:tc>
          <w:tcPr>
            <w:tcW w:type="dxa" w:w="2800"/>
            <w:shd w:fill="1F3B57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Link</w:t>
            </w:r>
          </w:p>
        </w:tc>
      </w:tr>
      <w:tr>
        <w:tc>
          <w:tcPr>
            <w:tcW w:type="dxa" w:w="26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Next.js Documentation</w:t>
            </w:r>
          </w:p>
        </w:tc>
        <w:tc>
          <w:tcPr>
            <w:tcW w:type="dxa" w:w="4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Framework docs: pages, routing, API routes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rxyqjfvtvfmk9hm5p7cil">
              <w:r>
                <w:rPr>
                  <w:rStyle w:val="Hyperlink"/>
                </w:rPr>
                <w:t xml:space="preserve">https://nextjs.org/docs</w:t>
              </w:r>
            </w:hyperlink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Supabase Documentation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Postgres, Auth, Storage, Edge Functions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p-ayile9ktchiedsomd8u">
              <w:r>
                <w:rPr>
                  <w:rStyle w:val="Hyperlink"/>
                </w:rPr>
                <w:t xml:space="preserve">https://supabase.com/docs</w:t>
              </w:r>
            </w:hyperlink>
          </w:p>
        </w:tc>
      </w:tr>
      <w:tr>
        <w:tc>
          <w:tcPr>
            <w:tcW w:type="dxa" w:w="26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pgvector guide (Supabase)</w:t>
            </w:r>
          </w:p>
        </w:tc>
        <w:tc>
          <w:tcPr>
            <w:tcW w:type="dxa" w:w="4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Enable pgvector, run similarity search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ptcvoplyuhhkx6jseoi52">
              <w:r>
                <w:rPr>
                  <w:rStyle w:val="Hyperlink"/>
                </w:rPr>
                <w:t xml:space="preserve">https://supabase.com/docs/guides/database/extensions/pgvector</w:t>
              </w:r>
            </w:hyperlink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Vercel Documentation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Deployment, env vars, Hobby plan limits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xya8wcdjxx0_9xbdlwf6i">
              <w:r>
                <w:rPr>
                  <w:rStyle w:val="Hyperlink"/>
                </w:rPr>
                <w:t xml:space="preserve">https://vercel.com/docs</w:t>
              </w:r>
            </w:hyperlink>
          </w:p>
        </w:tc>
      </w:tr>
      <w:tr>
        <w:tc>
          <w:tcPr>
            <w:tcW w:type="dxa" w:w="26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Hugging Face Inference API</w:t>
            </w:r>
          </w:p>
        </w:tc>
        <w:tc>
          <w:tcPr>
            <w:tcW w:type="dxa" w:w="4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Free-tier embeddings endpoint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0qtswibqgxvpb2ubid--v">
              <w:r>
                <w:rPr>
                  <w:rStyle w:val="Hyperlink"/>
                </w:rPr>
                <w:t xml:space="preserve">https://huggingface.co/docs/api-inference/en/index</w:t>
              </w:r>
            </w:hyperlink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Tailwind CSS Documentation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Utility-first CSS styling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irndcqwhcyerg7fguez0l">
              <w:r>
                <w:rPr>
                  <w:rStyle w:val="Hyperlink"/>
                </w:rPr>
                <w:t xml:space="preserve">https://tailwindcss.com/docs</w:t>
              </w:r>
            </w:hyperlink>
          </w:p>
        </w:tc>
      </w:tr>
      <w:tr>
        <w:tc>
          <w:tcPr>
            <w:tcW w:type="dxa" w:w="26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Resend Documentation</w:t>
            </w:r>
          </w:p>
        </w:tc>
        <w:tc>
          <w:tcPr>
            <w:tcW w:type="dxa" w:w="4200"/>
            <w:shd w:fill="EAF1EF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Free-tier transactional email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fm4uwrq4fru6frdbby0td">
              <w:r>
                <w:rPr>
                  <w:rStyle w:val="Hyperlink"/>
                </w:rPr>
                <w:t xml:space="preserve">https://resend.com/docs</w:t>
              </w:r>
            </w:hyperlink>
          </w:p>
        </w:tc>
      </w:tr>
      <w:tr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Sentry Documentation</w:t>
            </w:r>
          </w:p>
        </w:tc>
        <w:tc>
          <w:tcPr>
            <w:tcW w:type="dxa" w:w="4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Free-tier error monitoring</w:t>
            </w:r>
          </w:p>
        </w:tc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hyperlink w:history="1" r:id="rId1zr1ulwng571dmserc1ve">
              <w:r>
                <w:rPr>
                  <w:rStyle w:val="Hyperlink"/>
                </w:rPr>
                <w:t xml:space="preserve">https://docs.sentry.io/</w:t>
              </w:r>
            </w:hyperlink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2E6F5E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rxyqjfvtvfmk9hm5p7cil" Type="http://schemas.openxmlformats.org/officeDocument/2006/relationships/hyperlink" Target="https://nextjs.org/docs" TargetMode="External"/><Relationship Id="rIdp-ayile9ktchiedsomd8u" Type="http://schemas.openxmlformats.org/officeDocument/2006/relationships/hyperlink" Target="https://supabase.com/docs" TargetMode="External"/><Relationship Id="rIdptcvoplyuhhkx6jseoi52" Type="http://schemas.openxmlformats.org/officeDocument/2006/relationships/hyperlink" Target="https://supabase.com/docs/guides/database/extensions/pgvector" TargetMode="External"/><Relationship Id="rIdxya8wcdjxx0_9xbdlwf6i" Type="http://schemas.openxmlformats.org/officeDocument/2006/relationships/hyperlink" Target="https://vercel.com/docs" TargetMode="External"/><Relationship Id="rId0qtswibqgxvpb2ubid--v" Type="http://schemas.openxmlformats.org/officeDocument/2006/relationships/hyperlink" Target="https://huggingface.co/docs/api-inference/en/index" TargetMode="External"/><Relationship Id="rIdirndcqwhcyerg7fguez0l" Type="http://schemas.openxmlformats.org/officeDocument/2006/relationships/hyperlink" Target="https://tailwindcss.com/docs" TargetMode="External"/><Relationship Id="rIdfm4uwrq4fru6frdbby0td" Type="http://schemas.openxmlformats.org/officeDocument/2006/relationships/hyperlink" Target="https://resend.com/docs" TargetMode="External"/><Relationship Id="rId1zr1ulwng571dmserc1ve" Type="http://schemas.openxmlformats.org/officeDocument/2006/relationships/hyperlink" Target="https://docs.sentry.io/" TargetMode="Externa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2026-08-17T09:15:56.864Z</dcterms:created>
  <dcterms:modified xsi:type="dcterms:W3CDTF">2026-08-17T09:15:56.865Z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