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Insurance Contract — General Conditions</w:t>
      </w:r>
    </w:p>
    <w:p>
      <w:pPr>
        <w:pStyle w:val="Heading1"/>
      </w:pPr>
      <w:r>
        <w:t>1. Purpose of the contract</w:t>
      </w:r>
    </w:p>
    <w:p>
      <w:r>
        <w:t>This contract (IA) covers individual accidents occurring as part of the insured's professional activity. The BI (Business Interruption) coverage applies under article 5.</w:t>
      </w:r>
    </w:p>
    <w:p>
      <w:pPr>
        <w:pStyle w:val="Heading1"/>
      </w:pPr>
      <w:r>
        <w:t>2. Coverage</w:t>
      </w:r>
    </w:p>
    <w:p>
      <w:pPr>
        <w:pStyle w:val="Heading2"/>
      </w:pPr>
      <w:r>
        <w:t>2.1 Primary coverage</w:t>
      </w:r>
    </w:p>
    <w:p>
      <w:r>
        <w:t>The applicable deductible is set at 300 euros per claim. The compensation limit is 50,000 euros per calendar year.</w:t>
      </w:r>
    </w:p>
    <w:p>
      <w:r>
        <w:rPr>
          <w:b/>
          <w:color w:val="FF0000"/>
        </w:rPr>
        <w:t xml:space="preserve">IMPORTANT: </w:t>
      </w:r>
      <w:r>
        <w:t>Any claim must be reported within 5 business days.</w:t>
      </w:r>
    </w:p>
    <w:p>
      <w:pPr>
        <w:pStyle w:val="Heading1"/>
      </w:pPr>
      <w:r>
        <w:t>3. Coverage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Garantie</w:t>
            </w:r>
          </w:p>
        </w:tc>
        <w:tc>
          <w:tcPr>
            <w:tcW w:type="dxa" w:w="2880"/>
          </w:tcPr>
          <w:p>
            <w:r>
              <w:t>Plafond (€)</w:t>
            </w:r>
          </w:p>
        </w:tc>
        <w:tc>
          <w:tcPr>
            <w:tcW w:type="dxa" w:w="2880"/>
          </w:tcPr>
          <w:p>
            <w:r>
              <w:t>Franchise (€)</w:t>
            </w:r>
          </w:p>
        </w:tc>
      </w:tr>
      <w:tr>
        <w:tc>
          <w:tcPr>
            <w:tcW w:type="dxa" w:w="2880"/>
          </w:tcPr>
          <w:p>
            <w:r>
              <w:t>Dommages matériels</w:t>
            </w:r>
          </w:p>
        </w:tc>
        <w:tc>
          <w:tcPr>
            <w:tcW w:type="dxa" w:w="2880"/>
          </w:tcPr>
          <w:p>
            <w:r>
              <w:t>20 000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t>Dommages corporels (IA)</w:t>
            </w:r>
          </w:p>
        </w:tc>
        <w:tc>
          <w:tcPr>
            <w:tcW w:type="dxa" w:w="2880"/>
          </w:tcPr>
          <w:p>
            <w:r>
              <w:t>50 000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t>Interruption d'activité (BI)</w:t>
            </w:r>
          </w:p>
        </w:tc>
        <w:tc>
          <w:tcPr>
            <w:tcW w:type="dxa" w:w="2880"/>
          </w:tcPr>
          <w:p>
            <w:r>
              <w:t>100 000</w:t>
            </w:r>
          </w:p>
        </w:tc>
        <w:tc>
          <w:tcPr>
            <w:tcW w:type="dxa" w:w="2880"/>
          </w:tcPr>
          <w:p>
            <w:r>
              <w:t>1 000</w:t>
            </w:r>
          </w:p>
        </w:tc>
      </w:tr>
      <w:tr>
        <w:tc>
          <w:tcPr>
            <w:tcW w:type="dxa" w:w="2880"/>
          </w:tcPr>
          <w:p>
            <w:r>
              <w:t>Responsabilité civile</w:t>
            </w:r>
          </w:p>
        </w:tc>
        <w:tc>
          <w:tcPr>
            <w:tcW w:type="dxa" w:w="2880"/>
          </w:tcPr>
          <w:p>
            <w:r>
              <w:t>200 000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>
      <w:pPr>
        <w:pStyle w:val="Heading1"/>
      </w:pPr>
      <w:r>
        <w:t>4. Exclusions</w:t>
      </w:r>
    </w:p>
    <w:p>
      <w:r>
        <w:t>The following claims are excluded from this contract: intentional fault, war, terrorism, undeclared natural disasters.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Faseya Test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