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Insurance Contract — General Conditions</w:t>
      </w:r>
    </w:p>
    <w:p>
      <w:pPr>
        <w:pStyle w:val="Heading1"/>
      </w:pPr>
      <w:r>
        <w:t>1. Purpose of the contract</w:t>
      </w:r>
    </w:p>
    <w:p>
      <w:r>
        <w:t>This contract (IA) covers individual accidents occurring in the course of the insured's professional activity. The BI (Business Interruption) coverage applies under article 5.</w:t>
      </w:r>
    </w:p>
    <w:p>
      <w:pPr>
        <w:pStyle w:val="Heading1"/>
      </w:pPr>
      <w:r>
        <w:t>2. Coverage</w:t>
      </w:r>
    </w:p>
    <w:p>
      <w:pPr>
        <w:pStyle w:val="Heading2"/>
      </w:pPr>
      <w:r>
        <w:t>2.1 Main coverage</w:t>
      </w:r>
    </w:p>
    <w:p>
      <w:r>
        <w:t>The applicable deductible is set at 300 euros per claim. The compensation limit is 50,000 euros per calendar year.</w:t>
      </w:r>
    </w:p>
    <w:p>
      <w:r>
        <w:rPr>
          <w:b/>
          <w:color w:val="FF0000"/>
        </w:rPr>
        <w:t xml:space="preserve">IMPORTANT: </w:t>
      </w:r>
      <w:r>
        <w:t>Any claim must be filed within 5 business days.</w:t>
      </w:r>
    </w:p>
    <w:p>
      <w:pPr>
        <w:pStyle w:val="Heading1"/>
      </w:pPr>
      <w:r>
        <w:t>3. Coverage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Coverage</w:t>
            </w:r>
          </w:p>
        </w:tc>
        <w:tc>
          <w:tcPr>
            <w:tcW w:type="dxa" w:w="2880"/>
          </w:tcPr>
          <w:p>
            <w:r>
              <w:t>Limit (€)</w:t>
            </w:r>
          </w:p>
        </w:tc>
        <w:tc>
          <w:tcPr>
            <w:tcW w:type="dxa" w:w="2880"/>
          </w:tcPr>
          <w:p>
            <w:r>
              <w:t>Deductible (€)</w:t>
            </w:r>
          </w:p>
        </w:tc>
      </w:tr>
      <w:tr>
        <w:tc>
          <w:tcPr>
            <w:tcW w:type="dxa" w:w="2880"/>
          </w:tcPr>
          <w:p>
            <w:r>
              <w:t>Property damage</w:t>
            </w:r>
          </w:p>
        </w:tc>
        <w:tc>
          <w:tcPr>
            <w:tcW w:type="dxa" w:w="2880"/>
          </w:tcPr>
          <w:p>
            <w:r>
              <w:t>20,000</w:t>
            </w:r>
          </w:p>
        </w:tc>
        <w:tc>
          <w:tcPr>
            <w:tcW w:type="dxa" w:w="2880"/>
          </w:tcPr>
          <w:p>
            <w:r>
              <w:t>500</w:t>
            </w:r>
          </w:p>
        </w:tc>
      </w:tr>
      <w:tr>
        <w:tc>
          <w:tcPr>
            <w:tcW w:type="dxa" w:w="2880"/>
          </w:tcPr>
          <w:p>
            <w:r>
              <w:t>Bodily injury (IA)</w:t>
            </w:r>
          </w:p>
        </w:tc>
        <w:tc>
          <w:tcPr>
            <w:tcW w:type="dxa" w:w="2880"/>
          </w:tcPr>
          <w:p>
            <w:r>
              <w:t>50,000</w:t>
            </w:r>
          </w:p>
        </w:tc>
        <w:tc>
          <w:tcPr>
            <w:tcW w:type="dxa" w:w="2880"/>
          </w:tcPr>
          <w:p>
            <w:r>
              <w:t>300</w:t>
            </w:r>
          </w:p>
        </w:tc>
      </w:tr>
      <w:tr>
        <w:tc>
          <w:tcPr>
            <w:tcW w:type="dxa" w:w="2880"/>
          </w:tcPr>
          <w:p>
            <w:r>
              <w:t>Business interruption (BI)</w:t>
            </w:r>
          </w:p>
        </w:tc>
        <w:tc>
          <w:tcPr>
            <w:tcW w:type="dxa" w:w="2880"/>
          </w:tcPr>
          <w:p>
            <w:r>
              <w:t>100,000</w:t>
            </w:r>
          </w:p>
        </w:tc>
        <w:tc>
          <w:tcPr>
            <w:tcW w:type="dxa" w:w="2880"/>
          </w:tcPr>
          <w:p>
            <w:r>
              <w:t>1,000</w:t>
            </w:r>
          </w:p>
        </w:tc>
      </w:tr>
      <w:tr>
        <w:tc>
          <w:tcPr>
            <w:tcW w:type="dxa" w:w="2880"/>
          </w:tcPr>
          <w:p>
            <w:r>
              <w:t>Civil liability</w:t>
            </w:r>
          </w:p>
        </w:tc>
        <w:tc>
          <w:tcPr>
            <w:tcW w:type="dxa" w:w="2880"/>
          </w:tcPr>
          <w:p>
            <w:r>
              <w:t>200,000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</w:tbl>
    <w:p>
      <w:pPr>
        <w:pStyle w:val="Heading1"/>
      </w:pPr>
      <w:r>
        <w:t>4. Exclusions</w:t>
      </w:r>
    </w:p>
    <w:p>
      <w:r>
        <w:t>The following are excluded from this contract: intentional fault, war, terrorist acts, undeclared natural disasters.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Faseya Test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