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2405D">
      <w:pPr>
        <w:pStyle w:val="2"/>
        <w:spacing w:before="600" w:after="400"/>
        <w:jc w:val="center"/>
        <w:rPr>
          <w:rFonts w:hint="default" w:ascii="Krungthep" w:hAnsi="Krungthep" w:cs="Krungthep"/>
          <w:sz w:val="44"/>
          <w:szCs w:val="44"/>
        </w:rPr>
      </w:pPr>
      <w:r>
        <w:rPr>
          <w:rFonts w:hint="default" w:ascii="Krungthep" w:hAnsi="Krungthep" w:cs="Krungthep"/>
          <w:sz w:val="44"/>
          <w:szCs w:val="44"/>
        </w:rPr>
        <w:t>MEMORANDUM OF UNDERSTANDING</w:t>
      </w:r>
    </w:p>
    <w:p w14:paraId="6C0C0C2A">
      <w:pPr>
        <w:rPr>
          <w:sz w:val="32"/>
          <w:szCs w:val="32"/>
        </w:rPr>
      </w:pPr>
    </w:p>
    <w:p w14:paraId="27D0D8F0">
      <w:pPr>
        <w:ind w:left="2000" w:leftChars="0" w:firstLine="500" w:firstLineChars="0"/>
        <w:rPr>
          <w:rFonts w:hint="default" w:ascii="Marker Felt Thin" w:hAnsi="Marker Felt Thin" w:cs="Marker Felt Thin"/>
          <w:sz w:val="44"/>
          <w:szCs w:val="44"/>
          <w:lang w:val="en-US"/>
        </w:rPr>
      </w:pPr>
      <w:r>
        <w:rPr>
          <w:rFonts w:hint="default" w:ascii="Marker Felt Thin" w:hAnsi="Marker Felt Thin" w:cs="Marker Felt Thin"/>
          <w:sz w:val="44"/>
          <w:szCs w:val="44"/>
          <w:lang w:val="en-US"/>
        </w:rPr>
        <w:t xml:space="preserve">BETWEEN </w:t>
      </w:r>
    </w:p>
    <w:p w14:paraId="2A3C1C70">
      <w:pPr>
        <w:ind w:left="3000" w:leftChars="0" w:firstLine="500" w:firstLineChars="0"/>
        <w:rPr>
          <w:rFonts w:hint="default" w:ascii="Marker Felt Thin" w:hAnsi="Marker Felt Thin" w:cs="Marker Felt Thin"/>
          <w:sz w:val="44"/>
          <w:szCs w:val="44"/>
          <w:lang w:val="en-US"/>
        </w:rPr>
      </w:pPr>
    </w:p>
    <w:p w14:paraId="633AC586">
      <w:pPr>
        <w:ind w:left="3000" w:leftChars="0" w:firstLine="500" w:firstLineChars="0"/>
        <w:rPr>
          <w:rFonts w:hint="default" w:ascii="Marker Felt Thin" w:hAnsi="Marker Felt Thin" w:cs="Marker Felt Thin"/>
          <w:sz w:val="44"/>
          <w:szCs w:val="44"/>
          <w:lang w:val="en-US"/>
        </w:rPr>
      </w:pPr>
    </w:p>
    <w:p w14:paraId="67DE597D">
      <w:pPr>
        <w:ind w:left="3000" w:leftChars="0" w:firstLine="500" w:firstLineChars="0"/>
        <w:rPr>
          <w:rFonts w:hint="default" w:ascii="Marker Felt Thin" w:hAnsi="Marker Felt Thin" w:cs="Marker Felt Thin"/>
          <w:sz w:val="44"/>
          <w:szCs w:val="44"/>
          <w:lang w:val="en-US"/>
        </w:rPr>
      </w:pPr>
    </w:p>
    <w:p w14:paraId="26E138CE">
      <w:pPr>
        <w:ind w:left="2500" w:leftChars="0" w:firstLine="500" w:firstLineChars="0"/>
        <w:rPr>
          <w:rFonts w:hint="default" w:ascii="Marker Felt Thin" w:hAnsi="Marker Felt Thin" w:cs="Marker Felt Thin"/>
          <w:sz w:val="44"/>
          <w:szCs w:val="44"/>
        </w:rPr>
      </w:pPr>
      <w:r>
        <w:rPr>
          <w:rFonts w:hint="default" w:ascii="Marker Felt Thin" w:hAnsi="Marker Felt Thin" w:cs="Marker Felt Thin"/>
          <w:sz w:val="44"/>
          <w:szCs w:val="44"/>
        </w:rPr>
        <w:t>TURNVE</w:t>
      </w:r>
    </w:p>
    <w:p w14:paraId="43D21485">
      <w:pPr>
        <w:ind w:left="2500" w:leftChars="0" w:firstLine="500" w:firstLineChars="0"/>
        <w:rPr>
          <w:rFonts w:hint="default" w:ascii="Marker Felt Thin" w:hAnsi="Marker Felt Thin" w:cs="Marker Felt Thin"/>
          <w:sz w:val="44"/>
          <w:szCs w:val="44"/>
        </w:rPr>
      </w:pPr>
    </w:p>
    <w:p w14:paraId="3A72BFBB">
      <w:pPr>
        <w:ind w:left="2500" w:leftChars="0" w:firstLine="500" w:firstLineChars="0"/>
        <w:rPr>
          <w:rFonts w:hint="default" w:ascii="Marker Felt Thin" w:hAnsi="Marker Felt Thin" w:cs="Marker Felt Thin"/>
          <w:sz w:val="44"/>
          <w:szCs w:val="44"/>
        </w:rPr>
      </w:pPr>
    </w:p>
    <w:p w14:paraId="6C57DDF9">
      <w:pPr>
        <w:ind w:left="2500" w:leftChars="0" w:firstLine="500" w:firstLineChars="0"/>
        <w:rPr>
          <w:rFonts w:hint="default" w:ascii="Marker Felt Thin" w:hAnsi="Marker Felt Thin" w:cs="Marker Felt Thin"/>
          <w:sz w:val="44"/>
          <w:szCs w:val="44"/>
        </w:rPr>
      </w:pPr>
    </w:p>
    <w:p w14:paraId="3AE4287F">
      <w:pPr>
        <w:ind w:left="3000" w:leftChars="0" w:firstLine="500" w:firstLineChars="0"/>
        <w:rPr>
          <w:rFonts w:hint="default" w:ascii="Marker Felt Thin" w:hAnsi="Marker Felt Thin" w:cs="Marker Felt Thin"/>
          <w:sz w:val="44"/>
          <w:szCs w:val="44"/>
          <w:lang w:val="en-US"/>
        </w:rPr>
      </w:pPr>
      <w:r>
        <w:rPr>
          <w:rFonts w:hint="default" w:ascii="Marker Felt Thin" w:hAnsi="Marker Felt Thin" w:cs="Marker Felt Thin"/>
          <w:sz w:val="44"/>
          <w:szCs w:val="44"/>
          <w:lang w:val="en-US"/>
        </w:rPr>
        <w:t xml:space="preserve">AND </w:t>
      </w:r>
    </w:p>
    <w:p w14:paraId="224763FC">
      <w:pPr>
        <w:rPr>
          <w:rFonts w:hint="default" w:ascii="Marker Felt Thin" w:hAnsi="Marker Felt Thin" w:cs="Marker Felt Thin"/>
          <w:sz w:val="44"/>
          <w:szCs w:val="44"/>
        </w:rPr>
      </w:pPr>
    </w:p>
    <w:p w14:paraId="590936B9">
      <w:pPr>
        <w:rPr>
          <w:rFonts w:hint="default" w:ascii="Marker Felt Thin" w:hAnsi="Marker Felt Thin" w:cs="Marker Felt Thin"/>
          <w:sz w:val="44"/>
          <w:szCs w:val="44"/>
        </w:rPr>
      </w:pPr>
    </w:p>
    <w:p w14:paraId="71FEFD88">
      <w:pPr>
        <w:rPr>
          <w:rFonts w:hint="default" w:ascii="Marker Felt Thin" w:hAnsi="Marker Felt Thin" w:cs="Marker Felt Thin"/>
          <w:sz w:val="44"/>
          <w:szCs w:val="44"/>
        </w:rPr>
      </w:pPr>
    </w:p>
    <w:p w14:paraId="7D05C262">
      <w:pPr>
        <w:ind w:left="1500" w:leftChars="0" w:firstLine="500" w:firstLineChars="0"/>
        <w:rPr>
          <w:rFonts w:hint="default" w:ascii="Marker Felt Thin" w:hAnsi="Marker Felt Thin" w:cs="Marker Felt Thin"/>
          <w:sz w:val="44"/>
          <w:szCs w:val="44"/>
        </w:rPr>
      </w:pPr>
      <w:r>
        <w:rPr>
          <w:rFonts w:hint="default" w:ascii="Marker Felt Thin" w:hAnsi="Marker Felt Thin" w:cs="Marker Felt Thin"/>
          <w:sz w:val="44"/>
          <w:szCs w:val="44"/>
        </w:rPr>
        <w:t>ANAMBRA TECHIES</w:t>
      </w:r>
    </w:p>
    <w:p w14:paraId="049F742F">
      <w:pPr>
        <w:rPr>
          <w:rFonts w:hint="default" w:ascii="Marker Felt Thin" w:hAnsi="Marker Felt Thin" w:cs="Marker Felt Thin"/>
          <w:sz w:val="44"/>
          <w:szCs w:val="44"/>
        </w:rPr>
      </w:pPr>
    </w:p>
    <w:p w14:paraId="74438939">
      <w:pPr>
        <w:rPr>
          <w:sz w:val="36"/>
          <w:szCs w:val="36"/>
        </w:rPr>
      </w:pPr>
    </w:p>
    <w:p w14:paraId="163868DD"/>
    <w:p w14:paraId="16E476E0"/>
    <w:p w14:paraId="33872B70"/>
    <w:p w14:paraId="2B4325E3"/>
    <w:p w14:paraId="5FFCEA93"/>
    <w:p w14:paraId="736E4490"/>
    <w:p w14:paraId="0A196D3E"/>
    <w:p w14:paraId="2F2D4940"/>
    <w:p w14:paraId="05606EAC"/>
    <w:p w14:paraId="7FA1A663"/>
    <w:p w14:paraId="23FDA997"/>
    <w:p w14:paraId="4123DC71"/>
    <w:p w14:paraId="2F82B7DC"/>
    <w:p w14:paraId="1E307820"/>
    <w:p w14:paraId="45893060"/>
    <w:p w14:paraId="1141BE99"/>
    <w:p w14:paraId="637300DA"/>
    <w:p w14:paraId="22F0095F"/>
    <w:p w14:paraId="6704419B"/>
    <w:p w14:paraId="5774154B">
      <w:pPr>
        <w:pStyle w:val="14"/>
        <w:numPr>
          <w:ilvl w:val="0"/>
          <w:numId w:val="1"/>
        </w:numPr>
        <w:spacing w:before="120" w:after="200" w:line="360" w:lineRule="auto"/>
        <w:jc w:val="left"/>
      </w:pPr>
      <w:r>
        <w:rPr>
          <w:b/>
          <w:bCs/>
          <w:sz w:val="24"/>
          <w:szCs w:val="24"/>
        </w:rPr>
        <w:t>PREAMBLE AND RECITALS</w:t>
      </w:r>
    </w:p>
    <w:p w14:paraId="26B76C60">
      <w:pPr>
        <w:spacing w:before="120" w:after="200" w:line="360" w:lineRule="auto"/>
        <w:jc w:val="both"/>
        <w:rPr>
          <w:rFonts w:hint="default"/>
          <w:lang w:val="en-US"/>
        </w:rPr>
      </w:pPr>
      <w:r>
        <w:rPr>
          <w:rFonts w:hint="default" w:ascii="Times New Roman Bold" w:hAnsi="Times New Roman Bold" w:cs="Times New Roman Bold"/>
          <w:b/>
          <w:bCs/>
          <w:sz w:val="24"/>
          <w:szCs w:val="24"/>
        </w:rPr>
        <w:t xml:space="preserve">THIS MEMORANDUM OF UNDERSTANDING </w:t>
      </w:r>
      <w:r>
        <w:rPr>
          <w:sz w:val="24"/>
          <w:szCs w:val="24"/>
        </w:rPr>
        <w:t xml:space="preserve">(hereinafter referred to as the 'MOU' or 'Agreement') is made and entered into this </w:t>
      </w:r>
      <w:r>
        <w:rPr>
          <w:rFonts w:hint="default" w:ascii="Times New Roman Bold" w:hAnsi="Times New Roman Bold" w:cs="Times New Roman Bold"/>
          <w:b/>
          <w:bCs/>
          <w:sz w:val="24"/>
          <w:szCs w:val="24"/>
        </w:rPr>
        <w:t>14th day of September, 202</w:t>
      </w:r>
      <w:r>
        <w:rPr>
          <w:rFonts w:hint="default" w:ascii="Times New Roman Bold" w:hAnsi="Times New Roman Bold" w:cs="Times New Roman Bold"/>
          <w:b/>
          <w:bCs/>
          <w:sz w:val="24"/>
          <w:szCs w:val="24"/>
          <w:lang w:val="en-US"/>
        </w:rPr>
        <w:t xml:space="preserve">6. </w:t>
      </w:r>
    </w:p>
    <w:p w14:paraId="1B854916">
      <w:pPr>
        <w:spacing w:before="120" w:after="200" w:line="360" w:lineRule="auto"/>
        <w:jc w:val="left"/>
      </w:pPr>
      <w:r>
        <w:rPr>
          <w:b/>
          <w:bCs/>
          <w:sz w:val="24"/>
          <w:szCs w:val="24"/>
        </w:rPr>
        <w:t>BETWEEN</w:t>
      </w:r>
    </w:p>
    <w:p w14:paraId="219124F8">
      <w:pPr>
        <w:spacing w:before="120" w:after="200" w:line="360" w:lineRule="auto"/>
        <w:jc w:val="both"/>
        <w:rPr>
          <w:rFonts w:hint="default"/>
          <w:lang w:val="en-US"/>
        </w:rPr>
      </w:pPr>
      <w:r>
        <w:rPr>
          <w:rFonts w:hint="default" w:ascii="Times New Roman Bold" w:hAnsi="Times New Roman Bold" w:cs="Times New Roman Bold"/>
          <w:b/>
          <w:bCs/>
          <w:sz w:val="24"/>
          <w:szCs w:val="24"/>
        </w:rPr>
        <w:t>TURNVE</w:t>
      </w:r>
      <w:r>
        <w:rPr>
          <w:sz w:val="24"/>
          <w:szCs w:val="24"/>
        </w:rPr>
        <w:t xml:space="preserve">, a practical job simulation platform dedicated to bridging the gap between theoretical learning and professional employment by providing early-career talent with immersive, real-world workplace experiences (hereinafter referred to as </w:t>
      </w:r>
      <w:r>
        <w:rPr>
          <w:rFonts w:hint="default" w:ascii="Times New Roman Bold" w:hAnsi="Times New Roman Bold" w:cs="Times New Roman Bold"/>
          <w:b/>
          <w:bCs/>
          <w:sz w:val="24"/>
          <w:szCs w:val="24"/>
        </w:rPr>
        <w:t>'THE PROVIDER'</w:t>
      </w:r>
      <w:r>
        <w:rPr>
          <w:sz w:val="24"/>
          <w:szCs w:val="24"/>
        </w:rPr>
        <w:t>);</w:t>
      </w:r>
      <w:r>
        <w:rPr>
          <w:rFonts w:hint="default"/>
          <w:sz w:val="24"/>
          <w:szCs w:val="24"/>
          <w:lang w:val="en-US"/>
        </w:rPr>
        <w:t xml:space="preserve"> whose registered office address is situate at 5, Ajibade street, Ipaja, Lagos, Nigeria (which expression shall where the context so admits include its heirs, legal representatives, administrators, next-of-kin) of the ONE PART.    </w:t>
      </w:r>
    </w:p>
    <w:p w14:paraId="1B5B0A5B">
      <w:pPr>
        <w:spacing w:before="120" w:after="200" w:line="360" w:lineRule="auto"/>
        <w:ind w:left="3500" w:leftChars="0" w:firstLine="500" w:firstLineChars="0"/>
        <w:jc w:val="both"/>
      </w:pPr>
      <w:r>
        <w:rPr>
          <w:b/>
          <w:bCs/>
          <w:sz w:val="24"/>
          <w:szCs w:val="24"/>
        </w:rPr>
        <w:t>AND</w:t>
      </w:r>
    </w:p>
    <w:p w14:paraId="6CA7BE7C">
      <w:pPr>
        <w:spacing w:before="120" w:after="200" w:line="360" w:lineRule="auto"/>
        <w:jc w:val="both"/>
        <w:rPr>
          <w:rFonts w:hint="default"/>
          <w:lang w:val="en-US"/>
        </w:rPr>
      </w:pPr>
      <w:r>
        <w:rPr>
          <w:rFonts w:hint="default" w:ascii="Times New Roman Bold" w:hAnsi="Times New Roman Bold" w:cs="Times New Roman Bold"/>
          <w:b/>
          <w:bCs/>
          <w:sz w:val="24"/>
          <w:szCs w:val="24"/>
        </w:rPr>
        <w:t>ANAMBRA TECHIES</w:t>
      </w:r>
      <w:r>
        <w:rPr>
          <w:sz w:val="24"/>
          <w:szCs w:val="24"/>
        </w:rPr>
        <w:t xml:space="preserve">, a community development organization focused on fostering technological skills, professional growth, and career advancement for learners within its ecosystem (hereinafter referred to as </w:t>
      </w:r>
      <w:r>
        <w:rPr>
          <w:rFonts w:hint="default" w:ascii="Times New Roman Bold" w:hAnsi="Times New Roman Bold" w:cs="Times New Roman Bold"/>
          <w:b/>
          <w:bCs/>
          <w:sz w:val="24"/>
          <w:szCs w:val="24"/>
        </w:rPr>
        <w:t>'THE PARTNER</w:t>
      </w:r>
      <w:r>
        <w:rPr>
          <w:sz w:val="24"/>
          <w:szCs w:val="24"/>
        </w:rPr>
        <w:t>')</w:t>
      </w:r>
      <w:r>
        <w:rPr>
          <w:rFonts w:hint="default"/>
          <w:sz w:val="24"/>
          <w:szCs w:val="24"/>
          <w:lang w:val="en-US"/>
        </w:rPr>
        <w:t xml:space="preserve">, whose registered address is at Awka, Anambra (which expression shall where the context so admits include its heirs, legal representatives, administrators, next-of-kin) of the </w:t>
      </w:r>
      <w:r>
        <w:rPr>
          <w:rFonts w:hint="default" w:ascii="Times New Roman Bold" w:hAnsi="Times New Roman Bold" w:cs="Times New Roman Bold"/>
          <w:b/>
          <w:bCs/>
          <w:sz w:val="24"/>
          <w:szCs w:val="24"/>
          <w:lang w:val="en-US"/>
        </w:rPr>
        <w:t>SECOND PART</w:t>
      </w:r>
      <w:r>
        <w:rPr>
          <w:rFonts w:hint="default"/>
          <w:sz w:val="24"/>
          <w:szCs w:val="24"/>
          <w:lang w:val="en-US"/>
        </w:rPr>
        <w:t xml:space="preserve">.   </w:t>
      </w:r>
    </w:p>
    <w:p w14:paraId="36040EB7">
      <w:pPr>
        <w:spacing w:before="120" w:after="200" w:line="360" w:lineRule="auto"/>
        <w:jc w:val="left"/>
      </w:pPr>
      <w:r>
        <w:rPr>
          <w:b/>
          <w:bCs/>
          <w:sz w:val="24"/>
          <w:szCs w:val="24"/>
        </w:rPr>
        <w:t>WHEREAS:</w:t>
      </w:r>
    </w:p>
    <w:p w14:paraId="7DD9D67E">
      <w:pPr>
        <w:spacing w:before="120" w:after="200" w:line="360" w:lineRule="auto"/>
        <w:jc w:val="both"/>
      </w:pPr>
      <w:r>
        <w:rPr>
          <w:rFonts w:hint="default" w:ascii="Times New Roman Bold" w:hAnsi="Times New Roman Bold" w:cs="Times New Roman Bold"/>
          <w:b/>
          <w:bCs/>
          <w:sz w:val="24"/>
          <w:szCs w:val="24"/>
        </w:rPr>
        <w:t xml:space="preserve">A. </w:t>
      </w:r>
      <w:r>
        <w:rPr>
          <w:sz w:val="24"/>
          <w:szCs w:val="24"/>
        </w:rPr>
        <w:t xml:space="preserve">The Provider has developed a proprietary practical job simulation platform designed to </w:t>
      </w:r>
      <w:r>
        <w:rPr>
          <w:rFonts w:hint="default"/>
          <w:sz w:val="24"/>
          <w:szCs w:val="24"/>
          <w:lang w:val="en-US"/>
        </w:rPr>
        <w:tab/>
      </w:r>
      <w:r>
        <w:rPr>
          <w:sz w:val="24"/>
          <w:szCs w:val="24"/>
        </w:rPr>
        <w:t xml:space="preserve">help early career talent gain necessary workplace experience before entering formal </w:t>
      </w:r>
      <w:r>
        <w:rPr>
          <w:rFonts w:hint="default"/>
          <w:sz w:val="24"/>
          <w:szCs w:val="24"/>
          <w:lang w:val="en-US"/>
        </w:rPr>
        <w:tab/>
      </w:r>
      <w:r>
        <w:rPr>
          <w:sz w:val="24"/>
          <w:szCs w:val="24"/>
        </w:rPr>
        <w:t xml:space="preserve">employment by addressing the challenge of limited opportunities for practical </w:t>
      </w:r>
      <w:r>
        <w:rPr>
          <w:rFonts w:hint="default"/>
          <w:sz w:val="24"/>
          <w:szCs w:val="24"/>
          <w:lang w:val="en-US"/>
        </w:rPr>
        <w:tab/>
      </w:r>
      <w:r>
        <w:rPr>
          <w:sz w:val="24"/>
          <w:szCs w:val="24"/>
        </w:rPr>
        <w:t>knowledge application.</w:t>
      </w:r>
    </w:p>
    <w:p w14:paraId="634CE1A2">
      <w:pPr>
        <w:spacing w:before="120" w:after="200" w:line="360" w:lineRule="auto"/>
        <w:jc w:val="both"/>
      </w:pPr>
      <w:r>
        <w:rPr>
          <w:rFonts w:hint="default" w:ascii="Times New Roman Bold" w:hAnsi="Times New Roman Bold" w:cs="Times New Roman Bold"/>
          <w:b/>
          <w:bCs/>
          <w:sz w:val="24"/>
          <w:szCs w:val="24"/>
        </w:rPr>
        <w:t xml:space="preserve">B. </w:t>
      </w:r>
      <w:r>
        <w:rPr>
          <w:sz w:val="24"/>
          <w:szCs w:val="24"/>
        </w:rPr>
        <w:t xml:space="preserve">The Partner is a reputable organization committed to community development through the </w:t>
      </w:r>
      <w:r>
        <w:rPr>
          <w:rFonts w:hint="default"/>
          <w:sz w:val="24"/>
          <w:szCs w:val="24"/>
          <w:lang w:val="en-US"/>
        </w:rPr>
        <w:tab/>
      </w:r>
      <w:r>
        <w:rPr>
          <w:sz w:val="24"/>
          <w:szCs w:val="24"/>
        </w:rPr>
        <w:t xml:space="preserve">training and empowerment of learners in various technological and professional </w:t>
      </w:r>
      <w:r>
        <w:rPr>
          <w:rFonts w:hint="default"/>
          <w:sz w:val="24"/>
          <w:szCs w:val="24"/>
          <w:lang w:val="en-US"/>
        </w:rPr>
        <w:tab/>
      </w:r>
      <w:r>
        <w:rPr>
          <w:sz w:val="24"/>
          <w:szCs w:val="24"/>
        </w:rPr>
        <w:t>disciplines.</w:t>
      </w:r>
    </w:p>
    <w:p w14:paraId="43F71B5C">
      <w:pPr>
        <w:spacing w:before="120" w:after="200" w:line="360" w:lineRule="auto"/>
        <w:jc w:val="both"/>
      </w:pPr>
      <w:r>
        <w:rPr>
          <w:rFonts w:hint="default" w:ascii="Times New Roman Bold" w:hAnsi="Times New Roman Bold" w:cs="Times New Roman Bold"/>
          <w:b/>
          <w:bCs/>
          <w:sz w:val="24"/>
          <w:szCs w:val="24"/>
        </w:rPr>
        <w:t>C.</w:t>
      </w:r>
      <w:r>
        <w:rPr>
          <w:sz w:val="24"/>
          <w:szCs w:val="24"/>
        </w:rPr>
        <w:t xml:space="preserve"> Both Parties recognize a shared interest in enhancing the employability of early-career </w:t>
      </w:r>
      <w:r>
        <w:rPr>
          <w:rFonts w:hint="default"/>
          <w:sz w:val="24"/>
          <w:szCs w:val="24"/>
          <w:lang w:val="en-US"/>
        </w:rPr>
        <w:tab/>
      </w:r>
      <w:r>
        <w:rPr>
          <w:sz w:val="24"/>
          <w:szCs w:val="24"/>
        </w:rPr>
        <w:t xml:space="preserve">professionals by providing them with a platform to demonstrate their capabilities </w:t>
      </w:r>
      <w:r>
        <w:rPr>
          <w:rFonts w:hint="default"/>
          <w:sz w:val="24"/>
          <w:szCs w:val="24"/>
          <w:lang w:val="en-US"/>
        </w:rPr>
        <w:tab/>
      </w:r>
      <w:r>
        <w:rPr>
          <w:sz w:val="24"/>
          <w:szCs w:val="24"/>
        </w:rPr>
        <w:t>through realistic workplace simulations rather than mere theoretical certification.</w:t>
      </w:r>
    </w:p>
    <w:p w14:paraId="430A5FD5">
      <w:pPr>
        <w:spacing w:before="120" w:after="200" w:line="360" w:lineRule="auto"/>
        <w:jc w:val="both"/>
      </w:pPr>
      <w:r>
        <w:rPr>
          <w:rFonts w:hint="default" w:ascii="Times New Roman Bold" w:hAnsi="Times New Roman Bold" w:cs="Times New Roman Bold"/>
          <w:b/>
          <w:bCs/>
          <w:sz w:val="24"/>
          <w:szCs w:val="24"/>
        </w:rPr>
        <w:t xml:space="preserve">D. </w:t>
      </w:r>
      <w:r>
        <w:rPr>
          <w:sz w:val="24"/>
          <w:szCs w:val="24"/>
        </w:rPr>
        <w:t>The Parties intend to conduct a three-week Pilot Project starting on September 14th, 202</w:t>
      </w:r>
      <w:r>
        <w:rPr>
          <w:rFonts w:hint="default"/>
          <w:sz w:val="24"/>
          <w:szCs w:val="24"/>
          <w:lang w:val="en-US"/>
        </w:rPr>
        <w:t>6</w:t>
      </w:r>
      <w:r>
        <w:rPr>
          <w:sz w:val="24"/>
          <w:szCs w:val="24"/>
        </w:rPr>
        <w:t xml:space="preserve">, </w:t>
      </w:r>
      <w:r>
        <w:rPr>
          <w:rFonts w:hint="default"/>
          <w:sz w:val="24"/>
          <w:szCs w:val="24"/>
          <w:lang w:val="en-US"/>
        </w:rPr>
        <w:tab/>
      </w:r>
      <w:r>
        <w:rPr>
          <w:sz w:val="24"/>
          <w:szCs w:val="24"/>
        </w:rPr>
        <w:t xml:space="preserve">to evaluate the efficacy of the Provider's platform in complementing the Partner's </w:t>
      </w:r>
      <w:r>
        <w:rPr>
          <w:rFonts w:hint="default"/>
          <w:sz w:val="24"/>
          <w:szCs w:val="24"/>
          <w:lang w:val="en-US"/>
        </w:rPr>
        <w:tab/>
      </w:r>
      <w:r>
        <w:rPr>
          <w:sz w:val="24"/>
          <w:szCs w:val="24"/>
        </w:rPr>
        <w:t>existing training programs and to establish a basis for long-term collaboration.</w:t>
      </w:r>
    </w:p>
    <w:p w14:paraId="68992444">
      <w:pPr>
        <w:spacing w:before="120" w:after="200" w:line="360" w:lineRule="auto"/>
        <w:jc w:val="both"/>
      </w:pPr>
      <w:r>
        <w:rPr>
          <w:rFonts w:hint="default" w:ascii="Times New Roman Bold" w:hAnsi="Times New Roman Bold" w:cs="Times New Roman Bold"/>
          <w:b/>
          <w:bCs/>
          <w:sz w:val="24"/>
          <w:szCs w:val="24"/>
        </w:rPr>
        <w:t>E.</w:t>
      </w:r>
      <w:r>
        <w:rPr>
          <w:sz w:val="24"/>
          <w:szCs w:val="24"/>
        </w:rPr>
        <w:t xml:space="preserve"> This MOU sets forth the initial framework, responsibilities, financial considerations, and </w:t>
      </w:r>
      <w:r>
        <w:rPr>
          <w:rFonts w:hint="default"/>
          <w:sz w:val="24"/>
          <w:szCs w:val="24"/>
          <w:lang w:val="en-US"/>
        </w:rPr>
        <w:tab/>
      </w:r>
      <w:r>
        <w:rPr>
          <w:rFonts w:hint="default"/>
          <w:sz w:val="24"/>
          <w:szCs w:val="24"/>
          <w:lang w:val="en-US"/>
        </w:rPr>
        <w:tab/>
      </w:r>
      <w:r>
        <w:rPr>
          <w:sz w:val="24"/>
          <w:szCs w:val="24"/>
        </w:rPr>
        <w:t>objectives of the Pilot Project and the subsequent intended partnership.</w:t>
      </w:r>
    </w:p>
    <w:p w14:paraId="0766A592">
      <w:pPr>
        <w:pStyle w:val="14"/>
        <w:numPr>
          <w:ilvl w:val="0"/>
          <w:numId w:val="1"/>
        </w:numPr>
        <w:spacing w:before="120" w:after="200" w:line="360" w:lineRule="auto"/>
        <w:jc w:val="left"/>
      </w:pPr>
      <w:r>
        <w:rPr>
          <w:b/>
          <w:bCs/>
          <w:sz w:val="24"/>
          <w:szCs w:val="24"/>
        </w:rPr>
        <w:t>DEFINITIONS AND INTERPRETATIONS</w:t>
      </w:r>
    </w:p>
    <w:p w14:paraId="22D68CDD">
      <w:pPr>
        <w:spacing w:before="120" w:after="200" w:line="360" w:lineRule="auto"/>
        <w:ind w:firstLine="500" w:firstLineChars="0"/>
        <w:jc w:val="both"/>
      </w:pPr>
      <w:r>
        <w:rPr>
          <w:sz w:val="24"/>
          <w:szCs w:val="24"/>
        </w:rPr>
        <w:t xml:space="preserve">In this Agreement, unless the context otherwise requires, the following terms shall have </w:t>
      </w:r>
      <w:r>
        <w:rPr>
          <w:rFonts w:hint="default"/>
          <w:sz w:val="24"/>
          <w:szCs w:val="24"/>
          <w:lang w:val="en-US"/>
        </w:rPr>
        <w:tab/>
      </w:r>
      <w:r>
        <w:rPr>
          <w:sz w:val="24"/>
          <w:szCs w:val="24"/>
        </w:rPr>
        <w:t>the meanings ascribed to them below:</w:t>
      </w:r>
    </w:p>
    <w:p w14:paraId="747A8441">
      <w:pPr>
        <w:spacing w:before="120" w:after="200" w:line="360" w:lineRule="auto"/>
        <w:jc w:val="both"/>
      </w:pPr>
      <w:r>
        <w:rPr>
          <w:rFonts w:hint="default" w:ascii="Times New Roman Bold" w:hAnsi="Times New Roman Bold" w:cs="Times New Roman Bold"/>
          <w:b/>
          <w:bCs/>
          <w:sz w:val="24"/>
          <w:szCs w:val="24"/>
        </w:rPr>
        <w:t>2.1</w:t>
      </w:r>
      <w:r>
        <w:rPr>
          <w:sz w:val="24"/>
          <w:szCs w:val="24"/>
        </w:rPr>
        <w:t xml:space="preserve"> '</w:t>
      </w:r>
      <w:r>
        <w:rPr>
          <w:rFonts w:hint="default" w:ascii="Times New Roman Bold" w:hAnsi="Times New Roman Bold" w:cs="Times New Roman Bold"/>
          <w:b/>
          <w:bCs/>
          <w:sz w:val="24"/>
          <w:szCs w:val="24"/>
        </w:rPr>
        <w:t xml:space="preserve">Pilot' or 'Pilot Project' </w:t>
      </w:r>
      <w:r>
        <w:rPr>
          <w:sz w:val="24"/>
          <w:szCs w:val="24"/>
        </w:rPr>
        <w:t xml:space="preserve">refers to the structured three-week trial period commencing on </w:t>
      </w:r>
      <w:r>
        <w:rPr>
          <w:rFonts w:hint="default"/>
          <w:sz w:val="24"/>
          <w:szCs w:val="24"/>
          <w:lang w:val="en-US"/>
        </w:rPr>
        <w:tab/>
      </w:r>
      <w:r>
        <w:rPr>
          <w:rFonts w:hint="default"/>
          <w:sz w:val="24"/>
          <w:szCs w:val="24"/>
          <w:lang w:val="en-US"/>
        </w:rPr>
        <w:tab/>
      </w:r>
      <w:r>
        <w:rPr>
          <w:sz w:val="24"/>
          <w:szCs w:val="24"/>
        </w:rPr>
        <w:t>September 14th, 202</w:t>
      </w:r>
      <w:r>
        <w:rPr>
          <w:sz w:val="24"/>
          <w:szCs w:val="24"/>
          <w:lang w:val="en-US"/>
        </w:rPr>
        <w:t>6</w:t>
      </w:r>
      <w:r>
        <w:rPr>
          <w:sz w:val="24"/>
          <w:szCs w:val="24"/>
        </w:rPr>
        <w:t xml:space="preserve">, during which selected learners from Anambra Techies will </w:t>
      </w:r>
      <w:r>
        <w:rPr>
          <w:rFonts w:hint="default"/>
          <w:sz w:val="24"/>
          <w:szCs w:val="24"/>
          <w:lang w:val="en-US"/>
        </w:rPr>
        <w:tab/>
      </w:r>
      <w:r>
        <w:rPr>
          <w:rFonts w:hint="default"/>
          <w:sz w:val="24"/>
          <w:szCs w:val="24"/>
          <w:lang w:val="en-US"/>
        </w:rPr>
        <w:tab/>
      </w:r>
      <w:r>
        <w:rPr>
          <w:sz w:val="24"/>
          <w:szCs w:val="24"/>
        </w:rPr>
        <w:t xml:space="preserve">access the TURNVE platform to undergo job simulations, the results of which will be </w:t>
      </w:r>
      <w:r>
        <w:rPr>
          <w:rFonts w:hint="default"/>
          <w:sz w:val="24"/>
          <w:szCs w:val="24"/>
          <w:lang w:val="en-US"/>
        </w:rPr>
        <w:tab/>
      </w:r>
      <w:r>
        <w:rPr>
          <w:rFonts w:hint="default"/>
          <w:sz w:val="24"/>
          <w:szCs w:val="24"/>
          <w:lang w:val="en-US"/>
        </w:rPr>
        <w:tab/>
      </w:r>
      <w:r>
        <w:rPr>
          <w:sz w:val="24"/>
          <w:szCs w:val="24"/>
        </w:rPr>
        <w:t>evaluated against specific success metrics.</w:t>
      </w:r>
    </w:p>
    <w:p w14:paraId="757DC6A0">
      <w:pPr>
        <w:spacing w:before="120" w:after="200" w:line="360" w:lineRule="auto"/>
        <w:jc w:val="both"/>
      </w:pPr>
      <w:r>
        <w:rPr>
          <w:rFonts w:hint="default" w:ascii="Times New Roman Bold" w:hAnsi="Times New Roman Bold" w:cs="Times New Roman Bold"/>
          <w:b/>
          <w:bCs/>
          <w:sz w:val="24"/>
          <w:szCs w:val="24"/>
        </w:rPr>
        <w:t>2.2 'Simulation Library'</w:t>
      </w:r>
      <w:r>
        <w:rPr>
          <w:sz w:val="24"/>
          <w:szCs w:val="24"/>
        </w:rPr>
        <w:t xml:space="preserve"> refers to the Provider’s comprehensive and standardized collection </w:t>
      </w:r>
      <w:r>
        <w:rPr>
          <w:rFonts w:hint="default"/>
          <w:sz w:val="24"/>
          <w:szCs w:val="24"/>
          <w:lang w:val="en-US"/>
        </w:rPr>
        <w:tab/>
      </w:r>
      <w:r>
        <w:rPr>
          <w:sz w:val="24"/>
          <w:szCs w:val="24"/>
        </w:rPr>
        <w:t xml:space="preserve">of pre-designed job simulations across various professional roles, including the </w:t>
      </w:r>
      <w:r>
        <w:rPr>
          <w:rFonts w:hint="default"/>
          <w:sz w:val="24"/>
          <w:szCs w:val="24"/>
          <w:lang w:val="en-US"/>
        </w:rPr>
        <w:tab/>
      </w:r>
      <w:r>
        <w:rPr>
          <w:sz w:val="24"/>
          <w:szCs w:val="24"/>
        </w:rPr>
        <w:t xml:space="preserve">associated tasks, work objectives, and instructional materials available on the </w:t>
      </w:r>
      <w:r>
        <w:rPr>
          <w:rFonts w:hint="default" w:ascii="Times New Roman Bold" w:hAnsi="Times New Roman Bold" w:cs="Times New Roman Bold"/>
          <w:b/>
          <w:bCs/>
          <w:sz w:val="24"/>
          <w:szCs w:val="24"/>
        </w:rPr>
        <w:t xml:space="preserve">TURNVE </w:t>
      </w:r>
      <w:r>
        <w:rPr>
          <w:rFonts w:hint="default"/>
          <w:sz w:val="24"/>
          <w:szCs w:val="24"/>
          <w:lang w:val="en-US"/>
        </w:rPr>
        <w:tab/>
      </w:r>
      <w:r>
        <w:rPr>
          <w:sz w:val="24"/>
          <w:szCs w:val="24"/>
        </w:rPr>
        <w:t>platform.</w:t>
      </w:r>
    </w:p>
    <w:p w14:paraId="5E4A4812">
      <w:pPr>
        <w:spacing w:before="120" w:after="200" w:line="360" w:lineRule="auto"/>
        <w:jc w:val="both"/>
      </w:pPr>
      <w:r>
        <w:rPr>
          <w:rFonts w:hint="default" w:ascii="Times New Roman Bold" w:hAnsi="Times New Roman Bold" w:cs="Times New Roman Bold"/>
          <w:b/>
          <w:bCs/>
          <w:sz w:val="24"/>
          <w:szCs w:val="24"/>
        </w:rPr>
        <w:t>2.3 'Learner Deliverables'</w:t>
      </w:r>
      <w:r>
        <w:rPr>
          <w:sz w:val="24"/>
          <w:szCs w:val="24"/>
        </w:rPr>
        <w:t xml:space="preserve"> refers to the specific work outputs, documents, decisions, and </w:t>
      </w:r>
      <w:r>
        <w:rPr>
          <w:rFonts w:hint="default"/>
          <w:sz w:val="24"/>
          <w:szCs w:val="24"/>
          <w:lang w:val="en-US"/>
        </w:rPr>
        <w:tab/>
      </w:r>
      <w:r>
        <w:rPr>
          <w:rFonts w:hint="default"/>
          <w:sz w:val="24"/>
          <w:szCs w:val="24"/>
          <w:lang w:val="en-US"/>
        </w:rPr>
        <w:tab/>
      </w:r>
      <w:r>
        <w:rPr>
          <w:sz w:val="24"/>
          <w:szCs w:val="24"/>
        </w:rPr>
        <w:t xml:space="preserve">problem-solving results produced by the learners during their participation in the job </w:t>
      </w:r>
      <w:r>
        <w:rPr>
          <w:rFonts w:hint="default"/>
          <w:sz w:val="24"/>
          <w:szCs w:val="24"/>
          <w:lang w:val="en-US"/>
        </w:rPr>
        <w:tab/>
      </w:r>
      <w:r>
        <w:rPr>
          <w:sz w:val="24"/>
          <w:szCs w:val="24"/>
        </w:rPr>
        <w:t>simulations on the platform.</w:t>
      </w:r>
    </w:p>
    <w:p w14:paraId="22584308">
      <w:pPr>
        <w:spacing w:before="120" w:after="200" w:line="360" w:lineRule="auto"/>
        <w:jc w:val="both"/>
      </w:pPr>
      <w:r>
        <w:rPr>
          <w:rFonts w:hint="default" w:ascii="Times New Roman Bold" w:hAnsi="Times New Roman Bold" w:cs="Times New Roman Bold"/>
          <w:b/>
          <w:bCs/>
          <w:sz w:val="24"/>
          <w:szCs w:val="24"/>
        </w:rPr>
        <w:t>2.4</w:t>
      </w:r>
      <w:r>
        <w:rPr>
          <w:sz w:val="24"/>
          <w:szCs w:val="24"/>
        </w:rPr>
        <w:t xml:space="preserve"> </w:t>
      </w:r>
      <w:r>
        <w:rPr>
          <w:rFonts w:hint="default" w:ascii="Times New Roman Bold" w:hAnsi="Times New Roman Bold" w:cs="Times New Roman Bold"/>
          <w:b/>
          <w:bCs/>
          <w:sz w:val="24"/>
          <w:szCs w:val="24"/>
        </w:rPr>
        <w:t>'Proof of Work'</w:t>
      </w:r>
      <w:r>
        <w:rPr>
          <w:sz w:val="24"/>
          <w:szCs w:val="24"/>
        </w:rPr>
        <w:t xml:space="preserve"> refers to the evidence-based record of a learner's ability to perform </w:t>
      </w:r>
      <w:r>
        <w:rPr>
          <w:rFonts w:hint="default"/>
          <w:sz w:val="24"/>
          <w:szCs w:val="24"/>
          <w:lang w:val="en-US"/>
        </w:rPr>
        <w:tab/>
      </w:r>
      <w:r>
        <w:rPr>
          <w:sz w:val="24"/>
          <w:szCs w:val="24"/>
        </w:rPr>
        <w:t xml:space="preserve">specific professional tasks, compiled from their successfully completed simulations and </w:t>
      </w:r>
      <w:r>
        <w:rPr>
          <w:rFonts w:hint="default"/>
          <w:sz w:val="24"/>
          <w:szCs w:val="24"/>
          <w:lang w:val="en-US"/>
        </w:rPr>
        <w:tab/>
      </w:r>
      <w:r>
        <w:rPr>
          <w:sz w:val="24"/>
          <w:szCs w:val="24"/>
        </w:rPr>
        <w:t xml:space="preserve">suitable for inclusion in professional portfolios or for presentation to potential </w:t>
      </w:r>
      <w:r>
        <w:rPr>
          <w:rFonts w:hint="default"/>
          <w:sz w:val="24"/>
          <w:szCs w:val="24"/>
          <w:lang w:val="en-US"/>
        </w:rPr>
        <w:tab/>
      </w:r>
      <w:r>
        <w:rPr>
          <w:sz w:val="24"/>
          <w:szCs w:val="24"/>
        </w:rPr>
        <w:t>employers.</w:t>
      </w:r>
    </w:p>
    <w:p w14:paraId="1C8DD938">
      <w:pPr>
        <w:spacing w:before="120" w:after="200" w:line="360" w:lineRule="auto"/>
        <w:jc w:val="both"/>
      </w:pPr>
      <w:r>
        <w:rPr>
          <w:rFonts w:hint="default" w:ascii="Times New Roman Bold" w:hAnsi="Times New Roman Bold" w:cs="Times New Roman Bold"/>
          <w:b/>
          <w:bCs/>
          <w:sz w:val="24"/>
          <w:szCs w:val="24"/>
        </w:rPr>
        <w:t>2.5</w:t>
      </w:r>
      <w:r>
        <w:rPr>
          <w:sz w:val="24"/>
          <w:szCs w:val="24"/>
        </w:rPr>
        <w:t xml:space="preserve"> </w:t>
      </w:r>
      <w:r>
        <w:rPr>
          <w:rFonts w:hint="default" w:ascii="Times New Roman Bold" w:hAnsi="Times New Roman Bold" w:cs="Times New Roman Bold"/>
          <w:b/>
          <w:bCs/>
          <w:sz w:val="24"/>
          <w:szCs w:val="24"/>
        </w:rPr>
        <w:t>'Co-built Simulation'</w:t>
      </w:r>
      <w:r>
        <w:rPr>
          <w:sz w:val="24"/>
          <w:szCs w:val="24"/>
        </w:rPr>
        <w:t xml:space="preserve"> refers to any specialized job simulation designed, developed, or </w:t>
      </w:r>
      <w:r>
        <w:rPr>
          <w:rFonts w:hint="default"/>
          <w:sz w:val="24"/>
          <w:szCs w:val="24"/>
          <w:lang w:val="en-US"/>
        </w:rPr>
        <w:tab/>
      </w:r>
      <w:r>
        <w:rPr>
          <w:sz w:val="24"/>
          <w:szCs w:val="24"/>
        </w:rPr>
        <w:t xml:space="preserve">modified through a collaborative effort between the Provider and the Partner to meet the </w:t>
      </w:r>
      <w:r>
        <w:rPr>
          <w:rFonts w:hint="default"/>
          <w:sz w:val="24"/>
          <w:szCs w:val="24"/>
          <w:lang w:val="en-US"/>
        </w:rPr>
        <w:tab/>
      </w:r>
      <w:r>
        <w:rPr>
          <w:sz w:val="24"/>
          <w:szCs w:val="24"/>
        </w:rPr>
        <w:t xml:space="preserve">specific training requirements or niche industry needs of the Partner's learner </w:t>
      </w:r>
      <w:r>
        <w:rPr>
          <w:rFonts w:hint="default"/>
          <w:sz w:val="24"/>
          <w:szCs w:val="24"/>
          <w:lang w:val="en-US"/>
        </w:rPr>
        <w:tab/>
      </w:r>
      <w:r>
        <w:rPr>
          <w:sz w:val="24"/>
          <w:szCs w:val="24"/>
        </w:rPr>
        <w:t>demographic.</w:t>
      </w:r>
    </w:p>
    <w:p w14:paraId="490841A9">
      <w:pPr>
        <w:spacing w:before="120" w:after="200" w:line="360" w:lineRule="auto"/>
        <w:jc w:val="both"/>
      </w:pPr>
      <w:r>
        <w:rPr>
          <w:rFonts w:hint="default" w:ascii="Times New Roman Bold" w:hAnsi="Times New Roman Bold" w:cs="Times New Roman Bold"/>
          <w:b/>
          <w:bCs/>
          <w:sz w:val="24"/>
          <w:szCs w:val="24"/>
        </w:rPr>
        <w:t>2.6 'Learner'</w:t>
      </w:r>
      <w:r>
        <w:rPr>
          <w:sz w:val="24"/>
          <w:szCs w:val="24"/>
        </w:rPr>
        <w:t xml:space="preserve"> refers to any individual selected and mobilized by the Partner to participate in </w:t>
      </w:r>
      <w:r>
        <w:rPr>
          <w:rFonts w:hint="default"/>
          <w:sz w:val="24"/>
          <w:szCs w:val="24"/>
          <w:lang w:val="en-US"/>
        </w:rPr>
        <w:tab/>
      </w:r>
      <w:r>
        <w:rPr>
          <w:rFonts w:hint="default"/>
          <w:sz w:val="24"/>
          <w:szCs w:val="24"/>
          <w:lang w:val="en-US"/>
        </w:rPr>
        <w:tab/>
      </w:r>
      <w:r>
        <w:rPr>
          <w:sz w:val="24"/>
          <w:szCs w:val="24"/>
        </w:rPr>
        <w:t>the Pilot Project or subsequent subscription-based simulations.</w:t>
      </w:r>
    </w:p>
    <w:p w14:paraId="725F9CD6">
      <w:pPr>
        <w:spacing w:before="120" w:after="200" w:line="360" w:lineRule="auto"/>
        <w:jc w:val="both"/>
      </w:pPr>
      <w:r>
        <w:rPr>
          <w:rFonts w:hint="default" w:ascii="Times New Roman Bold" w:hAnsi="Times New Roman Bold" w:cs="Times New Roman Bold"/>
          <w:b/>
          <w:bCs/>
          <w:sz w:val="24"/>
          <w:szCs w:val="24"/>
        </w:rPr>
        <w:t>2.7 'Work Readiness'</w:t>
      </w:r>
      <w:r>
        <w:rPr>
          <w:sz w:val="24"/>
          <w:szCs w:val="24"/>
        </w:rPr>
        <w:t xml:space="preserve"> refers to the measured improvement in a learner's confidence, </w:t>
      </w:r>
      <w:r>
        <w:rPr>
          <w:rFonts w:hint="default"/>
          <w:sz w:val="24"/>
          <w:szCs w:val="24"/>
          <w:lang w:val="en-US"/>
        </w:rPr>
        <w:tab/>
      </w:r>
      <w:r>
        <w:rPr>
          <w:sz w:val="24"/>
          <w:szCs w:val="24"/>
        </w:rPr>
        <w:t xml:space="preserve">competence, and practical ability to handle professional roles as determined by the </w:t>
      </w:r>
      <w:r>
        <w:rPr>
          <w:rFonts w:hint="default"/>
          <w:sz w:val="24"/>
          <w:szCs w:val="24"/>
          <w:lang w:val="en-US"/>
        </w:rPr>
        <w:tab/>
      </w:r>
      <w:r>
        <w:rPr>
          <w:sz w:val="24"/>
          <w:szCs w:val="24"/>
        </w:rPr>
        <w:t>assessment criteria and feedback mechanisms of the platform.</w:t>
      </w:r>
    </w:p>
    <w:p w14:paraId="05128579">
      <w:pPr>
        <w:pStyle w:val="14"/>
        <w:numPr>
          <w:ilvl w:val="0"/>
          <w:numId w:val="1"/>
        </w:numPr>
        <w:spacing w:before="120" w:after="200" w:line="360" w:lineRule="auto"/>
        <w:jc w:val="left"/>
      </w:pPr>
      <w:r>
        <w:rPr>
          <w:b/>
          <w:bCs/>
          <w:sz w:val="24"/>
          <w:szCs w:val="24"/>
        </w:rPr>
        <w:t>SCOPE OF THE PILOT PROJECT</w:t>
      </w:r>
    </w:p>
    <w:p w14:paraId="70BD0D59">
      <w:pPr>
        <w:spacing w:before="120" w:after="200" w:line="360" w:lineRule="auto"/>
        <w:jc w:val="both"/>
      </w:pPr>
      <w:r>
        <w:rPr>
          <w:rFonts w:hint="default" w:ascii="Times New Roman Bold" w:hAnsi="Times New Roman Bold" w:cs="Times New Roman Bold"/>
          <w:b/>
          <w:bCs/>
          <w:sz w:val="24"/>
          <w:szCs w:val="24"/>
        </w:rPr>
        <w:t xml:space="preserve">3.1 </w:t>
      </w:r>
      <w:r>
        <w:rPr>
          <w:sz w:val="24"/>
          <w:szCs w:val="24"/>
        </w:rPr>
        <w:t xml:space="preserve">The primary objective of the Pilot Project is to integrate the TURNVE practical job </w:t>
      </w:r>
      <w:r>
        <w:rPr>
          <w:rFonts w:hint="default"/>
          <w:sz w:val="24"/>
          <w:szCs w:val="24"/>
          <w:lang w:val="en-US"/>
        </w:rPr>
        <w:tab/>
      </w:r>
      <w:r>
        <w:rPr>
          <w:sz w:val="24"/>
          <w:szCs w:val="24"/>
        </w:rPr>
        <w:t xml:space="preserve">simulation environment into the Anambra Techies learning ecosystem to determine how </w:t>
      </w:r>
      <w:r>
        <w:rPr>
          <w:rFonts w:hint="default"/>
          <w:sz w:val="24"/>
          <w:szCs w:val="24"/>
          <w:lang w:val="en-US"/>
        </w:rPr>
        <w:tab/>
      </w:r>
      <w:r>
        <w:rPr>
          <w:sz w:val="24"/>
          <w:szCs w:val="24"/>
        </w:rPr>
        <w:t>effectively learners apply their acquired knowledge in realistic work scenarios.</w:t>
      </w:r>
    </w:p>
    <w:p w14:paraId="5D432FC9">
      <w:pPr>
        <w:spacing w:before="120" w:after="200" w:line="360" w:lineRule="auto"/>
        <w:jc w:val="both"/>
      </w:pPr>
      <w:r>
        <w:rPr>
          <w:rFonts w:hint="default" w:ascii="Times New Roman Bold" w:hAnsi="Times New Roman Bold" w:cs="Times New Roman Bold"/>
          <w:b/>
          <w:bCs/>
          <w:sz w:val="24"/>
          <w:szCs w:val="24"/>
        </w:rPr>
        <w:t>3.2</w:t>
      </w:r>
      <w:r>
        <w:rPr>
          <w:sz w:val="24"/>
          <w:szCs w:val="24"/>
        </w:rPr>
        <w:t xml:space="preserve"> </w:t>
      </w:r>
      <w:r>
        <w:rPr>
          <w:rFonts w:hint="default" w:ascii="Times New Roman Bold" w:hAnsi="Times New Roman Bold" w:cs="Times New Roman Bold"/>
          <w:b/>
          <w:bCs/>
          <w:sz w:val="24"/>
          <w:szCs w:val="24"/>
        </w:rPr>
        <w:t>Duration and Timing:</w:t>
      </w:r>
      <w:r>
        <w:rPr>
          <w:sz w:val="24"/>
          <w:szCs w:val="24"/>
        </w:rPr>
        <w:t xml:space="preserve"> The Pilot shall run for a duration of exactly three (3) weeks, </w:t>
      </w:r>
      <w:r>
        <w:rPr>
          <w:rFonts w:hint="default"/>
          <w:sz w:val="24"/>
          <w:szCs w:val="24"/>
          <w:lang w:val="en-US"/>
        </w:rPr>
        <w:tab/>
      </w:r>
      <w:r>
        <w:rPr>
          <w:sz w:val="24"/>
          <w:szCs w:val="24"/>
        </w:rPr>
        <w:t xml:space="preserve">starting from the onboarding of learners on September 14th. This period includes the </w:t>
      </w:r>
      <w:r>
        <w:rPr>
          <w:rFonts w:hint="default"/>
          <w:sz w:val="24"/>
          <w:szCs w:val="24"/>
          <w:lang w:val="en-US"/>
        </w:rPr>
        <w:tab/>
      </w:r>
      <w:r>
        <w:rPr>
          <w:sz w:val="24"/>
          <w:szCs w:val="24"/>
        </w:rPr>
        <w:t xml:space="preserve">initial orientation, the execution of simulations, and the final collection of performance </w:t>
      </w:r>
      <w:r>
        <w:rPr>
          <w:rFonts w:hint="default"/>
          <w:sz w:val="24"/>
          <w:szCs w:val="24"/>
          <w:lang w:val="en-US"/>
        </w:rPr>
        <w:tab/>
      </w:r>
      <w:r>
        <w:rPr>
          <w:sz w:val="24"/>
          <w:szCs w:val="24"/>
        </w:rPr>
        <w:t>data.</w:t>
      </w:r>
    </w:p>
    <w:p w14:paraId="03E0F42B">
      <w:pPr>
        <w:spacing w:before="120" w:after="200" w:line="360" w:lineRule="auto"/>
        <w:jc w:val="both"/>
      </w:pPr>
      <w:r>
        <w:rPr>
          <w:rFonts w:hint="default" w:ascii="Times New Roman Bold" w:hAnsi="Times New Roman Bold" w:cs="Times New Roman Bold"/>
          <w:b/>
          <w:bCs/>
          <w:sz w:val="24"/>
          <w:szCs w:val="24"/>
        </w:rPr>
        <w:t xml:space="preserve">3.3 Target Audience: </w:t>
      </w:r>
      <w:r>
        <w:rPr>
          <w:sz w:val="24"/>
          <w:szCs w:val="24"/>
        </w:rPr>
        <w:t xml:space="preserve">The Pilot is specifically designed for early-career talent and learners </w:t>
      </w:r>
      <w:r>
        <w:rPr>
          <w:rFonts w:hint="default"/>
          <w:sz w:val="24"/>
          <w:szCs w:val="24"/>
          <w:lang w:val="en-US"/>
        </w:rPr>
        <w:tab/>
      </w:r>
      <w:r>
        <w:rPr>
          <w:sz w:val="24"/>
          <w:szCs w:val="24"/>
        </w:rPr>
        <w:t xml:space="preserve">within the Partner's community who have completed initial training and require a </w:t>
      </w:r>
      <w:r>
        <w:rPr>
          <w:rFonts w:hint="default"/>
          <w:sz w:val="24"/>
          <w:szCs w:val="24"/>
          <w:lang w:val="en-US"/>
        </w:rPr>
        <w:tab/>
      </w:r>
      <w:r>
        <w:rPr>
          <w:sz w:val="24"/>
          <w:szCs w:val="24"/>
        </w:rPr>
        <w:t>platform to demonstrate practical application of their skills.</w:t>
      </w:r>
    </w:p>
    <w:p w14:paraId="17058A0B">
      <w:pPr>
        <w:spacing w:before="120" w:after="200" w:line="360" w:lineRule="auto"/>
        <w:jc w:val="both"/>
      </w:pPr>
      <w:r>
        <w:rPr>
          <w:rFonts w:hint="default" w:ascii="Times New Roman Bold" w:hAnsi="Times New Roman Bold" w:cs="Times New Roman Bold"/>
          <w:b/>
          <w:bCs/>
          <w:sz w:val="24"/>
          <w:szCs w:val="24"/>
        </w:rPr>
        <w:t>3.4 Simulation Methodology:</w:t>
      </w:r>
      <w:r>
        <w:rPr>
          <w:sz w:val="24"/>
          <w:szCs w:val="24"/>
        </w:rPr>
        <w:t xml:space="preserve"> During the Pilot, learners will be presented with specific work </w:t>
      </w:r>
      <w:r>
        <w:rPr>
          <w:rFonts w:hint="default"/>
          <w:sz w:val="24"/>
          <w:szCs w:val="24"/>
          <w:lang w:val="en-US"/>
        </w:rPr>
        <w:tab/>
      </w:r>
      <w:r>
        <w:rPr>
          <w:sz w:val="24"/>
          <w:szCs w:val="24"/>
        </w:rPr>
        <w:t xml:space="preserve">objectives and relevant organizational information. They will be tasked with analyzing </w:t>
      </w:r>
      <w:r>
        <w:rPr>
          <w:rFonts w:hint="default"/>
          <w:sz w:val="24"/>
          <w:szCs w:val="24"/>
          <w:lang w:val="en-US"/>
        </w:rPr>
        <w:tab/>
      </w:r>
      <w:r>
        <w:rPr>
          <w:sz w:val="24"/>
          <w:szCs w:val="24"/>
        </w:rPr>
        <w:t xml:space="preserve">complex situations, making professional decisions, and generating appropriate work </w:t>
      </w:r>
      <w:r>
        <w:rPr>
          <w:rFonts w:hint="default"/>
          <w:sz w:val="24"/>
          <w:szCs w:val="24"/>
          <w:lang w:val="en-US"/>
        </w:rPr>
        <w:tab/>
      </w:r>
      <w:r>
        <w:rPr>
          <w:sz w:val="24"/>
          <w:szCs w:val="24"/>
        </w:rPr>
        <w:t>outputs which simulate the demands of high-performance workplace environments.</w:t>
      </w:r>
    </w:p>
    <w:p w14:paraId="06527C47">
      <w:pPr>
        <w:spacing w:before="120" w:after="200" w:line="360" w:lineRule="auto"/>
        <w:jc w:val="both"/>
      </w:pPr>
      <w:r>
        <w:rPr>
          <w:rFonts w:hint="default" w:ascii="Times New Roman Bold" w:hAnsi="Times New Roman Bold" w:cs="Times New Roman Bold"/>
          <w:b/>
          <w:bCs/>
          <w:sz w:val="24"/>
          <w:szCs w:val="24"/>
        </w:rPr>
        <w:t>3.5 Pedagogical Goals:</w:t>
      </w:r>
      <w:r>
        <w:rPr>
          <w:sz w:val="24"/>
          <w:szCs w:val="24"/>
        </w:rPr>
        <w:t xml:space="preserve"> The collaboration aims to move learners from the state of </w:t>
      </w:r>
      <w:r>
        <w:rPr>
          <w:rFonts w:hint="default"/>
          <w:sz w:val="24"/>
          <w:szCs w:val="24"/>
          <w:lang w:val="en-US"/>
        </w:rPr>
        <w:tab/>
      </w:r>
      <w:r>
        <w:rPr>
          <w:sz w:val="24"/>
          <w:szCs w:val="24"/>
        </w:rPr>
        <w:t xml:space="preserve">certification ('I have been trained') to a state of proven competence ('This is what I can </w:t>
      </w:r>
      <w:r>
        <w:rPr>
          <w:rFonts w:hint="default"/>
          <w:sz w:val="24"/>
          <w:szCs w:val="24"/>
          <w:lang w:val="en-US"/>
        </w:rPr>
        <w:tab/>
      </w:r>
      <w:r>
        <w:rPr>
          <w:sz w:val="24"/>
          <w:szCs w:val="24"/>
        </w:rPr>
        <w:t>do'), thereby significantly increasing their attractiveness to potential employers.</w:t>
      </w:r>
    </w:p>
    <w:p w14:paraId="71D20E1A">
      <w:pPr>
        <w:spacing w:before="120" w:after="200" w:line="360" w:lineRule="auto"/>
        <w:jc w:val="both"/>
      </w:pPr>
      <w:r>
        <w:rPr>
          <w:rFonts w:hint="default" w:ascii="Times New Roman Bold" w:hAnsi="Times New Roman Bold" w:cs="Times New Roman Bold"/>
          <w:b/>
          <w:bCs/>
          <w:sz w:val="24"/>
          <w:szCs w:val="24"/>
        </w:rPr>
        <w:t>3.6 Assessment and Feedback:</w:t>
      </w:r>
      <w:r>
        <w:rPr>
          <w:sz w:val="24"/>
          <w:szCs w:val="24"/>
        </w:rPr>
        <w:t xml:space="preserve"> Every learner’s performance during the three-week period </w:t>
      </w:r>
      <w:r>
        <w:rPr>
          <w:rFonts w:hint="default"/>
          <w:sz w:val="24"/>
          <w:szCs w:val="24"/>
          <w:lang w:val="en-US"/>
        </w:rPr>
        <w:tab/>
      </w:r>
      <w:r>
        <w:rPr>
          <w:rFonts w:hint="default"/>
          <w:sz w:val="24"/>
          <w:szCs w:val="24"/>
          <w:lang w:val="en-US"/>
        </w:rPr>
        <w:tab/>
      </w:r>
      <w:r>
        <w:rPr>
          <w:sz w:val="24"/>
          <w:szCs w:val="24"/>
        </w:rPr>
        <w:t xml:space="preserve">shall be assessed against structured criteria provided by the Provider. This will allow for </w:t>
      </w:r>
      <w:r>
        <w:rPr>
          <w:rFonts w:hint="default"/>
          <w:sz w:val="24"/>
          <w:szCs w:val="24"/>
          <w:lang w:val="en-US"/>
        </w:rPr>
        <w:tab/>
      </w:r>
      <w:r>
        <w:rPr>
          <w:sz w:val="24"/>
          <w:szCs w:val="24"/>
        </w:rPr>
        <w:t xml:space="preserve">the identification of specific strengths and critical skill gaps that require further </w:t>
      </w:r>
      <w:r>
        <w:rPr>
          <w:rFonts w:hint="default"/>
          <w:sz w:val="24"/>
          <w:szCs w:val="24"/>
          <w:lang w:val="en-US"/>
        </w:rPr>
        <w:tab/>
      </w:r>
      <w:r>
        <w:rPr>
          <w:sz w:val="24"/>
          <w:szCs w:val="24"/>
        </w:rPr>
        <w:t>developmental intervention by the Partner.</w:t>
      </w:r>
    </w:p>
    <w:p w14:paraId="0C66D0AC">
      <w:pPr>
        <w:spacing w:before="120" w:after="200" w:line="360" w:lineRule="auto"/>
        <w:jc w:val="both"/>
      </w:pPr>
      <w:r>
        <w:rPr>
          <w:rFonts w:hint="default" w:ascii="Times New Roman Bold" w:hAnsi="Times New Roman Bold" w:cs="Times New Roman Bold"/>
          <w:b/>
          <w:bCs/>
          <w:sz w:val="24"/>
          <w:szCs w:val="24"/>
        </w:rPr>
        <w:t>3.7 Evaluation of Success:</w:t>
      </w:r>
      <w:r>
        <w:rPr>
          <w:sz w:val="24"/>
          <w:szCs w:val="24"/>
        </w:rPr>
        <w:t xml:space="preserve"> The scope includes the collection of data on participation, </w:t>
      </w:r>
      <w:r>
        <w:rPr>
          <w:rFonts w:hint="default"/>
          <w:sz w:val="24"/>
          <w:szCs w:val="24"/>
          <w:lang w:val="en-US"/>
        </w:rPr>
        <w:tab/>
      </w:r>
      <w:r>
        <w:rPr>
          <w:sz w:val="24"/>
          <w:szCs w:val="24"/>
        </w:rPr>
        <w:t xml:space="preserve">completion rates, task performance, and learner satisfaction. This data will form the </w:t>
      </w:r>
      <w:r>
        <w:rPr>
          <w:rFonts w:hint="default"/>
          <w:sz w:val="24"/>
          <w:szCs w:val="24"/>
          <w:lang w:val="en-US"/>
        </w:rPr>
        <w:tab/>
      </w:r>
      <w:r>
        <w:rPr>
          <w:sz w:val="24"/>
          <w:szCs w:val="24"/>
        </w:rPr>
        <w:t xml:space="preserve">basis of a comprehensive report to be delivered by the Provider to the Partner at the end </w:t>
      </w:r>
      <w:r>
        <w:rPr>
          <w:rFonts w:hint="default"/>
          <w:sz w:val="24"/>
          <w:szCs w:val="24"/>
          <w:lang w:val="en-US"/>
        </w:rPr>
        <w:tab/>
      </w:r>
      <w:r>
        <w:rPr>
          <w:sz w:val="24"/>
          <w:szCs w:val="24"/>
        </w:rPr>
        <w:t>of the Pilot.</w:t>
      </w:r>
    </w:p>
    <w:p w14:paraId="72A2E9EB">
      <w:pPr>
        <w:spacing w:before="120" w:after="200" w:line="360" w:lineRule="auto"/>
        <w:jc w:val="both"/>
      </w:pPr>
      <w:r>
        <w:rPr>
          <w:rFonts w:hint="default" w:ascii="Times New Roman Bold" w:hAnsi="Times New Roman Bold" w:cs="Times New Roman Bold"/>
          <w:b/>
          <w:bCs/>
          <w:sz w:val="24"/>
          <w:szCs w:val="24"/>
        </w:rPr>
        <w:t xml:space="preserve">3.8 Strategic Alignment: </w:t>
      </w:r>
      <w:r>
        <w:rPr>
          <w:sz w:val="24"/>
          <w:szCs w:val="24"/>
        </w:rPr>
        <w:t>This Pilot serves as a foundational step toward a potential long-</w:t>
      </w:r>
      <w:r>
        <w:rPr>
          <w:rFonts w:hint="default"/>
          <w:sz w:val="24"/>
          <w:szCs w:val="24"/>
          <w:lang w:val="en-US"/>
        </w:rPr>
        <w:tab/>
      </w:r>
      <w:r>
        <w:rPr>
          <w:sz w:val="24"/>
          <w:szCs w:val="24"/>
        </w:rPr>
        <w:t xml:space="preserve">term organizational subscription where the Partner may eventually adopt the Provider's </w:t>
      </w:r>
      <w:r>
        <w:rPr>
          <w:rFonts w:hint="default"/>
          <w:sz w:val="24"/>
          <w:szCs w:val="24"/>
          <w:lang w:val="en-US"/>
        </w:rPr>
        <w:tab/>
      </w:r>
      <w:r>
        <w:rPr>
          <w:sz w:val="24"/>
          <w:szCs w:val="24"/>
        </w:rPr>
        <w:t>platform as a permanent component of its community development and employment-</w:t>
      </w:r>
      <w:r>
        <w:rPr>
          <w:rFonts w:hint="default"/>
          <w:sz w:val="24"/>
          <w:szCs w:val="24"/>
          <w:lang w:val="en-US"/>
        </w:rPr>
        <w:tab/>
      </w:r>
      <w:r>
        <w:rPr>
          <w:sz w:val="24"/>
          <w:szCs w:val="24"/>
        </w:rPr>
        <w:t>readiness programmes.</w:t>
      </w:r>
    </w:p>
    <w:p w14:paraId="577068F7">
      <w:pPr>
        <w:pStyle w:val="14"/>
        <w:numPr>
          <w:ilvl w:val="0"/>
          <w:numId w:val="1"/>
        </w:numPr>
        <w:spacing w:before="120" w:after="200" w:line="360" w:lineRule="auto"/>
        <w:jc w:val="left"/>
      </w:pPr>
      <w:r>
        <w:rPr>
          <w:b/>
          <w:bCs/>
          <w:sz w:val="24"/>
          <w:szCs w:val="24"/>
        </w:rPr>
        <w:t>SECTION 4.0: OBLIGATIONS OF TURNVE</w:t>
      </w:r>
    </w:p>
    <w:p w14:paraId="1DC4096B">
      <w:pPr>
        <w:pStyle w:val="14"/>
        <w:numPr>
          <w:ilvl w:val="0"/>
          <w:numId w:val="2"/>
        </w:numPr>
        <w:spacing w:before="120" w:after="200" w:line="360" w:lineRule="auto"/>
        <w:jc w:val="both"/>
      </w:pPr>
      <w:r>
        <w:rPr>
          <w:rFonts w:hint="default" w:ascii="Times New Roman Bold" w:hAnsi="Times New Roman Bold" w:cs="Times New Roman Bold"/>
          <w:b/>
          <w:bCs/>
          <w:sz w:val="24"/>
          <w:szCs w:val="24"/>
        </w:rPr>
        <w:t>TURNVE,</w:t>
      </w:r>
      <w:r>
        <w:rPr>
          <w:sz w:val="24"/>
          <w:szCs w:val="24"/>
        </w:rPr>
        <w:t xml:space="preserve"> as the Provider under this Agreement, shall be responsible for the provision of a secure, cloud-based job simulation platform accessible by the selected learners of the Partner (Anambra Techies) for the duration of the 3-week pilot program.</w:t>
      </w:r>
    </w:p>
    <w:p w14:paraId="4224FAB9">
      <w:pPr>
        <w:pStyle w:val="14"/>
        <w:numPr>
          <w:ilvl w:val="0"/>
          <w:numId w:val="2"/>
        </w:numPr>
        <w:spacing w:before="120" w:after="200" w:line="360" w:lineRule="auto"/>
        <w:jc w:val="both"/>
      </w:pPr>
      <w:r>
        <w:rPr>
          <w:sz w:val="24"/>
          <w:szCs w:val="24"/>
        </w:rPr>
        <w:t>The Provider shall grant full access to its proprietary library of job simulations, which are specifically designed to reflect realistic workplace scenarios across various professional roles, ensuring that the simulations are compatible with standard web browsers and mobile interfaces.</w:t>
      </w:r>
    </w:p>
    <w:p w14:paraId="4932BBEB">
      <w:pPr>
        <w:pStyle w:val="14"/>
        <w:numPr>
          <w:ilvl w:val="0"/>
          <w:numId w:val="2"/>
        </w:numPr>
        <w:spacing w:before="120" w:after="200" w:line="360" w:lineRule="auto"/>
        <w:jc w:val="both"/>
      </w:pPr>
      <w:r>
        <w:rPr>
          <w:rFonts w:hint="default" w:ascii="Times New Roman Bold" w:hAnsi="Times New Roman Bold" w:cs="Times New Roman Bold"/>
          <w:b/>
          <w:bCs/>
          <w:sz w:val="24"/>
          <w:szCs w:val="24"/>
        </w:rPr>
        <w:t>TURNVE</w:t>
      </w:r>
      <w:r>
        <w:rPr>
          <w:sz w:val="24"/>
          <w:szCs w:val="24"/>
        </w:rPr>
        <w:t xml:space="preserve"> shall ensure that the simulation content provided is pedagogically sound and aligns with contemporary industry standards, focusing on key competencies such as situation analysis, decision-making, problem-solving, and the production of professional work outputs.</w:t>
      </w:r>
    </w:p>
    <w:p w14:paraId="6CD152F7">
      <w:pPr>
        <w:pStyle w:val="14"/>
        <w:numPr>
          <w:ilvl w:val="0"/>
          <w:numId w:val="2"/>
        </w:numPr>
        <w:spacing w:before="120" w:after="200" w:line="360" w:lineRule="auto"/>
        <w:jc w:val="both"/>
      </w:pPr>
      <w:r>
        <w:rPr>
          <w:sz w:val="24"/>
          <w:szCs w:val="24"/>
        </w:rPr>
        <w:t>The Provider shall supply comprehensive learner instructions for each simulation module to guide participants through their work objectives and the use of relevant information provided within the simulation environment.</w:t>
      </w:r>
    </w:p>
    <w:p w14:paraId="509A8D6D">
      <w:pPr>
        <w:pStyle w:val="14"/>
        <w:numPr>
          <w:ilvl w:val="0"/>
          <w:numId w:val="2"/>
        </w:numPr>
        <w:spacing w:before="120" w:after="200" w:line="360" w:lineRule="auto"/>
        <w:jc w:val="both"/>
      </w:pPr>
      <w:r>
        <w:rPr>
          <w:rFonts w:hint="default" w:ascii="Times New Roman Bold" w:hAnsi="Times New Roman Bold" w:cs="Times New Roman Bold"/>
          <w:b/>
          <w:bCs/>
          <w:sz w:val="24"/>
          <w:szCs w:val="24"/>
        </w:rPr>
        <w:t>TURNVE</w:t>
      </w:r>
      <w:r>
        <w:rPr>
          <w:sz w:val="24"/>
          <w:szCs w:val="24"/>
        </w:rPr>
        <w:t xml:space="preserve"> shall implement and manage a structured assessment framework, applying specific and transparent criteria to evaluate learner performance across all assigned tasks and deliverables.</w:t>
      </w:r>
    </w:p>
    <w:p w14:paraId="03653753">
      <w:pPr>
        <w:pStyle w:val="14"/>
        <w:numPr>
          <w:ilvl w:val="0"/>
          <w:numId w:val="2"/>
        </w:numPr>
        <w:spacing w:before="120" w:after="200" w:line="360" w:lineRule="auto"/>
        <w:jc w:val="both"/>
      </w:pPr>
      <w:r>
        <w:rPr>
          <w:sz w:val="24"/>
          <w:szCs w:val="24"/>
        </w:rPr>
        <w:t>The Provider shall maintain a robust backend tracking system to monitor learner progress, engagement levels, task completion rates, and performance metrics in real-time throughout the duration of the pilot.</w:t>
      </w:r>
    </w:p>
    <w:p w14:paraId="105C5B8F">
      <w:pPr>
        <w:pStyle w:val="14"/>
        <w:numPr>
          <w:ilvl w:val="0"/>
          <w:numId w:val="2"/>
        </w:numPr>
        <w:spacing w:before="120" w:after="200" w:line="360" w:lineRule="auto"/>
        <w:jc w:val="both"/>
      </w:pPr>
      <w:r>
        <w:rPr>
          <w:rFonts w:hint="default" w:ascii="Times New Roman Bold" w:hAnsi="Times New Roman Bold" w:cs="Times New Roman Bold"/>
          <w:b/>
          <w:bCs/>
          <w:sz w:val="24"/>
          <w:szCs w:val="24"/>
        </w:rPr>
        <w:t>TURNVE</w:t>
      </w:r>
      <w:r>
        <w:rPr>
          <w:sz w:val="24"/>
          <w:szCs w:val="24"/>
        </w:rPr>
        <w:t xml:space="preserve"> shall be responsible for the collection and analysis of learner feedback regarding the simulation experience, platform usability, and the perceived relevance of the tasks to their career development.</w:t>
      </w:r>
    </w:p>
    <w:p w14:paraId="0CA050D3">
      <w:pPr>
        <w:pStyle w:val="14"/>
        <w:numPr>
          <w:ilvl w:val="0"/>
          <w:numId w:val="2"/>
        </w:numPr>
        <w:spacing w:before="120" w:after="200" w:line="360" w:lineRule="auto"/>
        <w:jc w:val="both"/>
      </w:pPr>
      <w:r>
        <w:rPr>
          <w:sz w:val="24"/>
          <w:szCs w:val="24"/>
        </w:rPr>
        <w:t>Upon the conclusion of the 3-week pilot project,</w:t>
      </w:r>
      <w:r>
        <w:rPr>
          <w:rFonts w:hint="default" w:ascii="Times New Roman Bold" w:hAnsi="Times New Roman Bold" w:cs="Times New Roman Bold"/>
          <w:b/>
          <w:bCs/>
          <w:sz w:val="24"/>
          <w:szCs w:val="24"/>
        </w:rPr>
        <w:t xml:space="preserve"> TURNVE</w:t>
      </w:r>
      <w:r>
        <w:rPr>
          <w:sz w:val="24"/>
          <w:szCs w:val="24"/>
        </w:rPr>
        <w:t xml:space="preserve"> shall generate and deliver to Anambra Techies an exhaustive Final Results Report, which shall include a detailed breakdown of participation rates, completion statistics, task performance analysis, quality assessment of practical outputs, identified skill gaps, and strategic recommendations for future training interventions.</w:t>
      </w:r>
    </w:p>
    <w:p w14:paraId="5B8ABD30">
      <w:pPr>
        <w:pStyle w:val="14"/>
        <w:numPr>
          <w:ilvl w:val="0"/>
          <w:numId w:val="2"/>
        </w:numPr>
        <w:spacing w:before="120" w:after="200" w:line="360" w:lineRule="auto"/>
        <w:jc w:val="both"/>
      </w:pPr>
      <w:r>
        <w:rPr>
          <w:sz w:val="24"/>
          <w:szCs w:val="24"/>
        </w:rPr>
        <w:t>The Provider shall provide technical support to the Partner and its learners, ensuring that any platform-related issues or access difficulties are addressed promptly to minimize disruption to the learning experience.</w:t>
      </w:r>
    </w:p>
    <w:p w14:paraId="42E2F42A">
      <w:pPr>
        <w:pStyle w:val="14"/>
        <w:numPr>
          <w:ilvl w:val="0"/>
          <w:numId w:val="2"/>
        </w:numPr>
        <w:spacing w:before="120" w:after="200" w:line="360" w:lineRule="auto"/>
        <w:jc w:val="both"/>
      </w:pPr>
      <w:r>
        <w:rPr>
          <w:rFonts w:hint="default" w:ascii="Times New Roman Bold" w:hAnsi="Times New Roman Bold" w:cs="Times New Roman Bold"/>
          <w:b/>
          <w:bCs/>
          <w:sz w:val="24"/>
          <w:szCs w:val="24"/>
        </w:rPr>
        <w:t xml:space="preserve">TURNVE </w:t>
      </w:r>
      <w:r>
        <w:rPr>
          <w:sz w:val="24"/>
          <w:szCs w:val="24"/>
        </w:rPr>
        <w:t>shall ensure the security and integrity of all data processed on the platform, adhering to the data protection standards further detailed in Section 9.0 of this Memorandum of Understanding.</w:t>
      </w:r>
    </w:p>
    <w:p w14:paraId="1D4ACD43">
      <w:pPr>
        <w:pStyle w:val="14"/>
        <w:numPr>
          <w:ilvl w:val="0"/>
          <w:numId w:val="1"/>
        </w:numPr>
        <w:spacing w:before="120" w:after="200" w:line="360" w:lineRule="auto"/>
        <w:jc w:val="left"/>
      </w:pPr>
      <w:r>
        <w:rPr>
          <w:b/>
          <w:bCs/>
          <w:sz w:val="24"/>
          <w:szCs w:val="24"/>
        </w:rPr>
        <w:t>SECTION 5.0: OBLIGATIONS OF ANAMBRA TECHIES</w:t>
      </w:r>
    </w:p>
    <w:p w14:paraId="47A7F7F0">
      <w:pPr>
        <w:pStyle w:val="14"/>
        <w:numPr>
          <w:ilvl w:val="0"/>
          <w:numId w:val="2"/>
        </w:numPr>
        <w:spacing w:before="120" w:after="200" w:line="360" w:lineRule="auto"/>
        <w:jc w:val="both"/>
      </w:pPr>
      <w:r>
        <w:rPr>
          <w:sz w:val="24"/>
          <w:szCs w:val="24"/>
        </w:rPr>
        <w:t>Anambra Techies, as the Partner under this Agreement, shall be responsible for the identification, selection, and vetting of the learners who will participate in the 3-week pilot project, ensuring they possess the baseline technical knowledge required for the simulations.</w:t>
      </w:r>
    </w:p>
    <w:p w14:paraId="5F5F7B4A">
      <w:pPr>
        <w:pStyle w:val="14"/>
        <w:numPr>
          <w:ilvl w:val="0"/>
          <w:numId w:val="2"/>
        </w:numPr>
        <w:spacing w:before="120" w:after="200" w:line="360" w:lineRule="auto"/>
        <w:jc w:val="both"/>
      </w:pPr>
      <w:r>
        <w:rPr>
          <w:sz w:val="24"/>
          <w:szCs w:val="24"/>
        </w:rPr>
        <w:t>The Partner shall undertake the mobilization of the selected learners, ensuring that all participants are fully briefed on the objectives of the pilot, the nature of the TURNVE platform, and the expectations regarding their participation and output.</w:t>
      </w:r>
    </w:p>
    <w:p w14:paraId="4DFC159F">
      <w:pPr>
        <w:pStyle w:val="14"/>
        <w:numPr>
          <w:ilvl w:val="0"/>
          <w:numId w:val="2"/>
        </w:numPr>
        <w:spacing w:before="120" w:after="200" w:line="360" w:lineRule="auto"/>
        <w:jc w:val="both"/>
      </w:pPr>
      <w:r>
        <w:rPr>
          <w:sz w:val="24"/>
          <w:szCs w:val="24"/>
        </w:rPr>
        <w:t>Anambra Techies shall facilitate all internal communications necessary to promote the pilot within its community and shall serve as the primary point of contact for learners regarding administrative queries related to the program.</w:t>
      </w:r>
    </w:p>
    <w:p w14:paraId="2D65F2E7">
      <w:pPr>
        <w:pStyle w:val="14"/>
        <w:numPr>
          <w:ilvl w:val="0"/>
          <w:numId w:val="2"/>
        </w:numPr>
        <w:spacing w:before="120" w:after="200" w:line="360" w:lineRule="auto"/>
        <w:jc w:val="both"/>
      </w:pPr>
      <w:r>
        <w:rPr>
          <w:sz w:val="24"/>
          <w:szCs w:val="24"/>
        </w:rPr>
        <w:t xml:space="preserve">The Partner shall provide the necessary infrastructure support to its learners where applicable, ensuring they have access to the hardware and internet connectivity required to engage with the </w:t>
      </w:r>
      <w:r>
        <w:rPr>
          <w:rFonts w:hint="default" w:ascii="Times New Roman Bold" w:hAnsi="Times New Roman Bold" w:cs="Times New Roman Bold"/>
          <w:b/>
          <w:bCs/>
          <w:sz w:val="24"/>
          <w:szCs w:val="24"/>
        </w:rPr>
        <w:t>TURNVE</w:t>
      </w:r>
      <w:r>
        <w:rPr>
          <w:sz w:val="24"/>
          <w:szCs w:val="24"/>
        </w:rPr>
        <w:t xml:space="preserve"> platform during the pilot period.</w:t>
      </w:r>
    </w:p>
    <w:p w14:paraId="30A09BA0">
      <w:pPr>
        <w:pStyle w:val="14"/>
        <w:numPr>
          <w:ilvl w:val="0"/>
          <w:numId w:val="2"/>
        </w:numPr>
        <w:spacing w:before="120" w:after="200" w:line="360" w:lineRule="auto"/>
        <w:jc w:val="both"/>
      </w:pPr>
      <w:r>
        <w:rPr>
          <w:sz w:val="24"/>
          <w:szCs w:val="24"/>
        </w:rPr>
        <w:t>Anambra Techies shall actively support and encourage learner participation throughout the pilot duration, implementing internal follow-up mechanisms to ensure high completion rates and engagement with the simulations.</w:t>
      </w:r>
    </w:p>
    <w:p w14:paraId="091D2644">
      <w:pPr>
        <w:pStyle w:val="14"/>
        <w:numPr>
          <w:ilvl w:val="0"/>
          <w:numId w:val="2"/>
        </w:numPr>
        <w:spacing w:before="120" w:after="200" w:line="360" w:lineRule="auto"/>
        <w:jc w:val="both"/>
      </w:pPr>
      <w:r>
        <w:rPr>
          <w:sz w:val="24"/>
          <w:szCs w:val="24"/>
        </w:rPr>
        <w:t xml:space="preserve">The Partner shall work collaboratively with </w:t>
      </w:r>
      <w:r>
        <w:rPr>
          <w:rFonts w:hint="default" w:ascii="Times New Roman Bold" w:hAnsi="Times New Roman Bold" w:cs="Times New Roman Bold"/>
          <w:b/>
          <w:bCs/>
          <w:sz w:val="24"/>
          <w:szCs w:val="24"/>
        </w:rPr>
        <w:t>TURNVE</w:t>
      </w:r>
      <w:r>
        <w:rPr>
          <w:sz w:val="24"/>
          <w:szCs w:val="24"/>
        </w:rPr>
        <w:t xml:space="preserve"> to identify and define the most relevant professional roles and skills to be targeted during the pilot, ensuring the simulations align with the Partner's broader community development goals.</w:t>
      </w:r>
    </w:p>
    <w:p w14:paraId="55C8A0E2">
      <w:pPr>
        <w:pStyle w:val="14"/>
        <w:numPr>
          <w:ilvl w:val="0"/>
          <w:numId w:val="2"/>
        </w:numPr>
        <w:spacing w:before="120" w:after="200" w:line="360" w:lineRule="auto"/>
        <w:jc w:val="both"/>
      </w:pPr>
      <w:r>
        <w:rPr>
          <w:sz w:val="24"/>
          <w:szCs w:val="24"/>
        </w:rPr>
        <w:t>Anambra Techies shall provide the Provider with qualitative feedback regarding the organizational experience of the pilot, including observations on learner behavior, skill acquisition, and the alignment of the platform with the Partner's educational curriculum.</w:t>
      </w:r>
    </w:p>
    <w:p w14:paraId="74313465">
      <w:pPr>
        <w:pStyle w:val="14"/>
        <w:numPr>
          <w:ilvl w:val="0"/>
          <w:numId w:val="2"/>
        </w:numPr>
        <w:spacing w:before="120" w:after="200" w:line="360" w:lineRule="auto"/>
        <w:jc w:val="both"/>
      </w:pPr>
      <w:r>
        <w:rPr>
          <w:sz w:val="24"/>
          <w:szCs w:val="24"/>
        </w:rPr>
        <w:t xml:space="preserve">The Partner shall nominate a dedicated project coordinator who will serve as the liaison between Anambra Techies and </w:t>
      </w:r>
      <w:r>
        <w:rPr>
          <w:rFonts w:hint="default" w:ascii="Times New Roman Bold" w:hAnsi="Times New Roman Bold" w:cs="Times New Roman Bold"/>
          <w:b/>
          <w:bCs/>
          <w:sz w:val="24"/>
          <w:szCs w:val="24"/>
        </w:rPr>
        <w:t>TURNVE</w:t>
      </w:r>
      <w:r>
        <w:rPr>
          <w:sz w:val="24"/>
          <w:szCs w:val="24"/>
        </w:rPr>
        <w:t xml:space="preserve"> for the coordination of schedules, learner data sharing, and post-pilot evaluation meetings.</w:t>
      </w:r>
    </w:p>
    <w:p w14:paraId="082C855C">
      <w:pPr>
        <w:pStyle w:val="14"/>
        <w:numPr>
          <w:ilvl w:val="0"/>
          <w:numId w:val="2"/>
        </w:numPr>
        <w:spacing w:before="120" w:after="200" w:line="360" w:lineRule="auto"/>
        <w:jc w:val="both"/>
      </w:pPr>
      <w:r>
        <w:rPr>
          <w:sz w:val="24"/>
          <w:szCs w:val="24"/>
        </w:rPr>
        <w:t xml:space="preserve">Anambra Techies shall ensure that all participating learners are made aware of and agree to the privacy policies and terms of use of the </w:t>
      </w:r>
      <w:r>
        <w:rPr>
          <w:rFonts w:hint="default" w:ascii="Times New Roman Bold" w:hAnsi="Times New Roman Bold" w:cs="Times New Roman Bold"/>
          <w:b/>
          <w:bCs/>
          <w:sz w:val="24"/>
          <w:szCs w:val="24"/>
        </w:rPr>
        <w:t>TURNVE</w:t>
      </w:r>
      <w:r>
        <w:rPr>
          <w:sz w:val="24"/>
          <w:szCs w:val="24"/>
        </w:rPr>
        <w:t xml:space="preserve"> platform prior to the commencement of the pilot on September 14th.</w:t>
      </w:r>
    </w:p>
    <w:p w14:paraId="116DEB46">
      <w:pPr>
        <w:pStyle w:val="14"/>
        <w:numPr>
          <w:ilvl w:val="0"/>
          <w:numId w:val="1"/>
        </w:numPr>
        <w:spacing w:before="120" w:after="200" w:line="360" w:lineRule="auto"/>
        <w:jc w:val="left"/>
      </w:pPr>
      <w:r>
        <w:rPr>
          <w:b/>
          <w:bCs/>
          <w:sz w:val="24"/>
          <w:szCs w:val="24"/>
        </w:rPr>
        <w:t>SECTION 6.0: FINANCIAL CONSIDERATIONS AND PRICING</w:t>
      </w:r>
    </w:p>
    <w:p w14:paraId="783067BC">
      <w:pPr>
        <w:pStyle w:val="14"/>
        <w:numPr>
          <w:ilvl w:val="0"/>
          <w:numId w:val="2"/>
        </w:numPr>
        <w:spacing w:before="120" w:after="200" w:line="360" w:lineRule="auto"/>
        <w:jc w:val="both"/>
      </w:pPr>
      <w:r>
        <w:rPr>
          <w:sz w:val="24"/>
          <w:szCs w:val="24"/>
        </w:rPr>
        <w:t xml:space="preserve">The financial framework for the collaboration between </w:t>
      </w:r>
      <w:r>
        <w:rPr>
          <w:rFonts w:hint="default" w:ascii="Times New Roman Bold" w:hAnsi="Times New Roman Bold" w:cs="Times New Roman Bold"/>
          <w:b/>
          <w:bCs/>
          <w:sz w:val="24"/>
          <w:szCs w:val="24"/>
        </w:rPr>
        <w:t>TURNVE</w:t>
      </w:r>
      <w:r>
        <w:rPr>
          <w:sz w:val="24"/>
          <w:szCs w:val="24"/>
        </w:rPr>
        <w:t xml:space="preserve"> and </w:t>
      </w:r>
      <w:r>
        <w:rPr>
          <w:rFonts w:hint="default" w:ascii="Times New Roman Bold" w:hAnsi="Times New Roman Bold" w:cs="Times New Roman Bold"/>
          <w:b/>
          <w:bCs/>
          <w:sz w:val="24"/>
          <w:szCs w:val="24"/>
        </w:rPr>
        <w:t>ANAMBRA TECHIES</w:t>
      </w:r>
      <w:r>
        <w:rPr>
          <w:sz w:val="24"/>
          <w:szCs w:val="24"/>
        </w:rPr>
        <w:t xml:space="preserve"> is structured to accommodate both the immediate pilot project and the potential for a long-term, scalable partnership.</w:t>
      </w:r>
    </w:p>
    <w:p w14:paraId="6DB70F53">
      <w:pPr>
        <w:pStyle w:val="14"/>
        <w:numPr>
          <w:ilvl w:val="0"/>
          <w:numId w:val="2"/>
        </w:numPr>
        <w:spacing w:before="120" w:after="200" w:line="360" w:lineRule="auto"/>
        <w:jc w:val="both"/>
      </w:pPr>
      <w:r>
        <w:rPr>
          <w:rFonts w:hint="default"/>
          <w:sz w:val="24"/>
          <w:szCs w:val="24"/>
          <w:lang w:val="en-US"/>
        </w:rPr>
        <w:t xml:space="preserve">The Pricing is attached in the </w:t>
      </w:r>
      <w:r>
        <w:rPr>
          <w:rFonts w:hint="default" w:ascii="Times New Roman Bold" w:hAnsi="Times New Roman Bold" w:cs="Times New Roman Bold"/>
          <w:b/>
          <w:bCs/>
          <w:sz w:val="24"/>
          <w:szCs w:val="24"/>
          <w:lang w:val="en-US"/>
        </w:rPr>
        <w:t>SCHEDULE A</w:t>
      </w:r>
      <w:r>
        <w:rPr>
          <w:rFonts w:hint="default"/>
          <w:sz w:val="24"/>
          <w:szCs w:val="24"/>
          <w:lang w:val="en-US"/>
        </w:rPr>
        <w:t xml:space="preserve"> to this MOU and parties agree to abide by it. </w:t>
      </w:r>
    </w:p>
    <w:p w14:paraId="391510B6">
      <w:pPr>
        <w:pStyle w:val="14"/>
        <w:numPr>
          <w:ilvl w:val="0"/>
          <w:numId w:val="2"/>
        </w:numPr>
        <w:spacing w:before="120" w:after="200" w:line="360" w:lineRule="auto"/>
        <w:jc w:val="both"/>
      </w:pPr>
      <w:r>
        <w:rPr>
          <w:rFonts w:hint="default"/>
          <w:sz w:val="24"/>
          <w:szCs w:val="24"/>
          <w:lang w:val="en-US"/>
        </w:rPr>
        <w:t xml:space="preserve">The pilot shall be free during the training. All payment shall be made after the duration of the pilot.   </w:t>
      </w:r>
    </w:p>
    <w:p w14:paraId="0270A092">
      <w:pPr>
        <w:pStyle w:val="14"/>
        <w:numPr>
          <w:ilvl w:val="0"/>
          <w:numId w:val="2"/>
        </w:numPr>
        <w:spacing w:before="120" w:after="200" w:line="360" w:lineRule="auto"/>
        <w:jc w:val="both"/>
      </w:pPr>
      <w:r>
        <w:rPr>
          <w:sz w:val="24"/>
          <w:szCs w:val="24"/>
        </w:rPr>
        <w:t xml:space="preserve">All payments shall be made in United States Dollars (USD) or the equivalent in local currency </w:t>
      </w:r>
      <w:r>
        <w:rPr>
          <w:rFonts w:hint="default"/>
          <w:sz w:val="24"/>
          <w:szCs w:val="24"/>
          <w:lang w:val="en-US"/>
        </w:rPr>
        <w:t xml:space="preserve">(Nigerian Naira) </w:t>
      </w:r>
      <w:r>
        <w:rPr>
          <w:sz w:val="24"/>
          <w:szCs w:val="24"/>
        </w:rPr>
        <w:t>at the prevailing official exchange rate on the date of invoicing, unless otherwise agreed in writing by both parties.</w:t>
      </w:r>
    </w:p>
    <w:p w14:paraId="177AE1DD">
      <w:pPr>
        <w:pStyle w:val="14"/>
        <w:numPr>
          <w:ilvl w:val="0"/>
          <w:numId w:val="2"/>
        </w:numPr>
        <w:spacing w:before="120" w:after="200" w:line="360" w:lineRule="auto"/>
        <w:jc w:val="both"/>
      </w:pPr>
      <w:r>
        <w:rPr>
          <w:sz w:val="24"/>
          <w:szCs w:val="24"/>
        </w:rPr>
        <w:t>Invoices for the pilot project</w:t>
      </w:r>
      <w:r>
        <w:rPr>
          <w:rFonts w:hint="default"/>
          <w:sz w:val="24"/>
          <w:szCs w:val="24"/>
          <w:lang w:val="en-US"/>
        </w:rPr>
        <w:t xml:space="preserve"> which is attached to this </w:t>
      </w:r>
      <w:r>
        <w:rPr>
          <w:rFonts w:hint="default" w:ascii="Times New Roman" w:hAnsi="Times New Roman" w:cs="Times New Roman"/>
          <w:b w:val="0"/>
          <w:bCs w:val="0"/>
          <w:sz w:val="24"/>
          <w:szCs w:val="24"/>
          <w:lang w:val="en-US"/>
        </w:rPr>
        <w:t xml:space="preserve">MOU </w:t>
      </w:r>
      <w:r>
        <w:rPr>
          <w:rFonts w:hint="default"/>
          <w:sz w:val="24"/>
          <w:szCs w:val="24"/>
          <w:lang w:val="en-US"/>
        </w:rPr>
        <w:t xml:space="preserve">in </w:t>
      </w:r>
      <w:r>
        <w:rPr>
          <w:rFonts w:hint="default" w:ascii="Times New Roman Bold" w:hAnsi="Times New Roman Bold" w:cs="Times New Roman Bold"/>
          <w:b/>
          <w:bCs/>
          <w:sz w:val="24"/>
          <w:szCs w:val="24"/>
          <w:lang w:val="en-US"/>
        </w:rPr>
        <w:t>SCHEDULE A</w:t>
      </w:r>
      <w:r>
        <w:rPr>
          <w:sz w:val="24"/>
          <w:szCs w:val="24"/>
        </w:rPr>
        <w:t xml:space="preserve"> </w:t>
      </w:r>
      <w:r>
        <w:rPr>
          <w:rFonts w:hint="default"/>
          <w:sz w:val="24"/>
          <w:szCs w:val="24"/>
          <w:lang w:val="en-US"/>
        </w:rPr>
        <w:t>are</w:t>
      </w:r>
      <w:r>
        <w:rPr>
          <w:sz w:val="24"/>
          <w:szCs w:val="24"/>
        </w:rPr>
        <w:t xml:space="preserve"> issued upon the selection and </w:t>
      </w:r>
      <w:r>
        <w:rPr>
          <w:sz w:val="24"/>
          <w:szCs w:val="24"/>
          <w:lang w:val="en-US"/>
        </w:rPr>
        <w:t>on-boarding</w:t>
      </w:r>
      <w:r>
        <w:rPr>
          <w:sz w:val="24"/>
          <w:szCs w:val="24"/>
        </w:rPr>
        <w:t xml:space="preserve"> of the agreed learners, with </w:t>
      </w:r>
      <w:r>
        <w:rPr>
          <w:rFonts w:hint="default"/>
          <w:sz w:val="24"/>
          <w:szCs w:val="24"/>
          <w:lang w:val="en-US"/>
        </w:rPr>
        <w:t xml:space="preserve">all </w:t>
      </w:r>
      <w:r>
        <w:rPr>
          <w:sz w:val="24"/>
          <w:szCs w:val="24"/>
        </w:rPr>
        <w:t>payment</w:t>
      </w:r>
      <w:r>
        <w:rPr>
          <w:rFonts w:hint="default"/>
          <w:sz w:val="24"/>
          <w:szCs w:val="24"/>
          <w:lang w:val="en-US"/>
        </w:rPr>
        <w:t>s</w:t>
      </w:r>
      <w:r>
        <w:rPr>
          <w:sz w:val="24"/>
          <w:szCs w:val="24"/>
        </w:rPr>
        <w:t xml:space="preserve"> due within seven (</w:t>
      </w:r>
      <w:r>
        <w:rPr>
          <w:rFonts w:hint="default"/>
          <w:sz w:val="24"/>
          <w:szCs w:val="24"/>
          <w:lang w:val="en-US"/>
        </w:rPr>
        <w:t>14</w:t>
      </w:r>
      <w:r>
        <w:rPr>
          <w:sz w:val="24"/>
          <w:szCs w:val="24"/>
        </w:rPr>
        <w:t xml:space="preserve">) </w:t>
      </w:r>
      <w:r>
        <w:rPr>
          <w:rFonts w:hint="default"/>
          <w:sz w:val="24"/>
          <w:szCs w:val="24"/>
          <w:lang w:val="en-US"/>
        </w:rPr>
        <w:t>immediately after the pilot training</w:t>
      </w:r>
      <w:r>
        <w:rPr>
          <w:sz w:val="24"/>
          <w:szCs w:val="24"/>
        </w:rPr>
        <w:t>.</w:t>
      </w:r>
      <w:r>
        <w:rPr>
          <w:rFonts w:hint="default"/>
          <w:sz w:val="24"/>
          <w:szCs w:val="24"/>
          <w:lang w:val="en-US"/>
        </w:rPr>
        <w:t xml:space="preserve"> </w:t>
      </w:r>
    </w:p>
    <w:p w14:paraId="6E7A156B">
      <w:pPr>
        <w:pStyle w:val="14"/>
        <w:numPr>
          <w:ilvl w:val="0"/>
          <w:numId w:val="2"/>
        </w:numPr>
        <w:spacing w:before="120" w:after="200" w:line="360" w:lineRule="auto"/>
        <w:jc w:val="both"/>
      </w:pPr>
      <w:r>
        <w:rPr>
          <w:rFonts w:hint="default"/>
          <w:sz w:val="24"/>
          <w:szCs w:val="24"/>
          <w:lang w:val="en-US"/>
        </w:rPr>
        <w:t xml:space="preserve">The Invoice shall be activated within 14 days immediately after the pilot, during which time, the Partner shall have free period to make payment. </w:t>
      </w:r>
    </w:p>
    <w:p w14:paraId="7E04E1BA">
      <w:pPr>
        <w:pStyle w:val="14"/>
        <w:numPr>
          <w:ilvl w:val="0"/>
          <w:numId w:val="2"/>
        </w:numPr>
        <w:spacing w:before="120" w:after="200" w:line="360" w:lineRule="auto"/>
        <w:jc w:val="both"/>
      </w:pPr>
      <w:r>
        <w:rPr>
          <w:rFonts w:hint="default"/>
          <w:sz w:val="24"/>
          <w:szCs w:val="24"/>
          <w:lang w:val="en-US"/>
        </w:rPr>
        <w:t xml:space="preserve">The 14 day period shall count from the day after the pilot training and shall not include Sundays in the number of days to count. If the pilot training ends on Saturday, the 14 day period shall begin to count a day after Sunday.   </w:t>
      </w:r>
    </w:p>
    <w:p w14:paraId="7BE2231D">
      <w:pPr>
        <w:pStyle w:val="14"/>
        <w:numPr>
          <w:ilvl w:val="0"/>
          <w:numId w:val="2"/>
        </w:numPr>
        <w:spacing w:before="120" w:after="200" w:line="360" w:lineRule="auto"/>
        <w:jc w:val="both"/>
      </w:pPr>
      <w:r>
        <w:rPr>
          <w:rFonts w:hint="default"/>
          <w:sz w:val="24"/>
          <w:szCs w:val="24"/>
          <w:lang w:val="en-US"/>
        </w:rPr>
        <w:t xml:space="preserve">Payments maybe made in full, or where necessary, on installment during the 14 day free period. </w:t>
      </w:r>
      <w:bookmarkStart w:id="0" w:name="_GoBack"/>
      <w:bookmarkEnd w:id="0"/>
    </w:p>
    <w:p w14:paraId="5C36C637">
      <w:pPr>
        <w:pStyle w:val="14"/>
        <w:numPr>
          <w:ilvl w:val="0"/>
          <w:numId w:val="2"/>
        </w:numPr>
        <w:spacing w:before="120" w:after="200" w:line="360" w:lineRule="auto"/>
        <w:jc w:val="both"/>
      </w:pPr>
      <w:r>
        <w:rPr>
          <w:sz w:val="24"/>
          <w:szCs w:val="24"/>
        </w:rPr>
        <w:t xml:space="preserve">Late payments </w:t>
      </w:r>
      <w:r>
        <w:rPr>
          <w:rFonts w:hint="default"/>
          <w:sz w:val="24"/>
          <w:szCs w:val="24"/>
          <w:lang w:val="en-US"/>
        </w:rPr>
        <w:t xml:space="preserve">after the 14 days free period </w:t>
      </w:r>
      <w:r>
        <w:rPr>
          <w:sz w:val="24"/>
          <w:szCs w:val="24"/>
        </w:rPr>
        <w:t xml:space="preserve">shall attract an interest rate of 2% per month on the outstanding balance, and </w:t>
      </w:r>
      <w:r>
        <w:rPr>
          <w:rFonts w:hint="default" w:ascii="Times New Roman Bold" w:hAnsi="Times New Roman Bold" w:cs="Times New Roman Bold"/>
          <w:b/>
          <w:bCs/>
          <w:sz w:val="24"/>
          <w:szCs w:val="24"/>
        </w:rPr>
        <w:t xml:space="preserve">TURNVE </w:t>
      </w:r>
      <w:r>
        <w:rPr>
          <w:sz w:val="24"/>
          <w:szCs w:val="24"/>
        </w:rPr>
        <w:t>reserves the right to suspend platform access if payments remain overdue for more than fourteen (</w:t>
      </w:r>
      <w:r>
        <w:rPr>
          <w:sz w:val="24"/>
          <w:szCs w:val="24"/>
          <w:lang w:val="en-US"/>
        </w:rPr>
        <w:t>14</w:t>
      </w:r>
      <w:r>
        <w:rPr>
          <w:sz w:val="24"/>
          <w:szCs w:val="24"/>
        </w:rPr>
        <w:t>) days.</w:t>
      </w:r>
    </w:p>
    <w:p w14:paraId="17F7AEB4">
      <w:pPr>
        <w:pStyle w:val="14"/>
        <w:numPr>
          <w:ilvl w:val="0"/>
          <w:numId w:val="2"/>
        </w:numPr>
        <w:spacing w:before="120" w:after="200" w:line="360" w:lineRule="auto"/>
        <w:jc w:val="both"/>
      </w:pPr>
      <w:r>
        <w:rPr>
          <w:sz w:val="24"/>
          <w:szCs w:val="24"/>
        </w:rPr>
        <w:t>The pricing structure outlined in th</w:t>
      </w:r>
      <w:r>
        <w:rPr>
          <w:rFonts w:hint="default"/>
          <w:sz w:val="24"/>
          <w:szCs w:val="24"/>
          <w:lang w:val="en-US"/>
        </w:rPr>
        <w:t>e</w:t>
      </w:r>
      <w:r>
        <w:rPr>
          <w:sz w:val="24"/>
          <w:szCs w:val="24"/>
        </w:rPr>
        <w:t xml:space="preserve"> </w:t>
      </w:r>
      <w:r>
        <w:rPr>
          <w:rFonts w:hint="default"/>
          <w:sz w:val="24"/>
          <w:szCs w:val="24"/>
          <w:lang w:val="en-US"/>
        </w:rPr>
        <w:t xml:space="preserve">SCHEDULE A </w:t>
      </w:r>
      <w:r>
        <w:rPr>
          <w:sz w:val="24"/>
          <w:szCs w:val="24"/>
        </w:rPr>
        <w:t xml:space="preserve"> shall remain </w:t>
      </w:r>
      <w:r>
        <w:rPr>
          <w:rFonts w:hint="default"/>
          <w:sz w:val="24"/>
          <w:szCs w:val="24"/>
          <w:lang w:val="en-US"/>
        </w:rPr>
        <w:t>after</w:t>
      </w:r>
      <w:r>
        <w:rPr>
          <w:sz w:val="24"/>
          <w:szCs w:val="24"/>
        </w:rPr>
        <w:t xml:space="preserve"> the duration of the pilot and for</w:t>
      </w:r>
      <w:r>
        <w:rPr>
          <w:rFonts w:hint="default"/>
          <w:sz w:val="24"/>
          <w:szCs w:val="24"/>
          <w:lang w:val="en-US"/>
        </w:rPr>
        <w:t xml:space="preserve"> such as may be subsequently agreed by the parties in the event of extension of this MOU</w:t>
      </w:r>
      <w:r>
        <w:rPr>
          <w:sz w:val="24"/>
          <w:szCs w:val="24"/>
        </w:rPr>
        <w:t>, after which</w:t>
      </w:r>
      <w:r>
        <w:rPr>
          <w:rFonts w:hint="default"/>
          <w:sz w:val="24"/>
          <w:szCs w:val="24"/>
          <w:lang w:val="en-US"/>
        </w:rPr>
        <w:t>,</w:t>
      </w:r>
      <w:r>
        <w:rPr>
          <w:sz w:val="24"/>
          <w:szCs w:val="24"/>
        </w:rPr>
        <w:t xml:space="preserve"> it may be subject to review by the Provider upon </w:t>
      </w:r>
      <w:r>
        <w:rPr>
          <w:rFonts w:hint="default"/>
          <w:sz w:val="24"/>
          <w:szCs w:val="24"/>
          <w:lang w:val="en-US"/>
        </w:rPr>
        <w:t>fourteen</w:t>
      </w:r>
      <w:r>
        <w:rPr>
          <w:sz w:val="24"/>
          <w:szCs w:val="24"/>
        </w:rPr>
        <w:t xml:space="preserve"> (</w:t>
      </w:r>
      <w:r>
        <w:rPr>
          <w:rFonts w:hint="default"/>
          <w:sz w:val="24"/>
          <w:szCs w:val="24"/>
          <w:lang w:val="en-US"/>
        </w:rPr>
        <w:t>14</w:t>
      </w:r>
      <w:r>
        <w:rPr>
          <w:sz w:val="24"/>
          <w:szCs w:val="24"/>
        </w:rPr>
        <w:t>) days' notice to the Partner.</w:t>
      </w:r>
    </w:p>
    <w:p w14:paraId="03DE7A01">
      <w:pPr>
        <w:pStyle w:val="14"/>
        <w:numPr>
          <w:ilvl w:val="0"/>
          <w:numId w:val="1"/>
        </w:numPr>
        <w:spacing w:before="120" w:after="200" w:line="360" w:lineRule="auto"/>
        <w:jc w:val="left"/>
      </w:pPr>
      <w:r>
        <w:rPr>
          <w:b/>
          <w:bCs/>
          <w:sz w:val="24"/>
          <w:szCs w:val="24"/>
        </w:rPr>
        <w:t>SECTION 7.0: INTELLECTUAL PROPERTY AND PROPRIETARY RIGHTS</w:t>
      </w:r>
    </w:p>
    <w:p w14:paraId="20879DF5">
      <w:pPr>
        <w:pStyle w:val="14"/>
        <w:numPr>
          <w:ilvl w:val="0"/>
          <w:numId w:val="2"/>
        </w:numPr>
        <w:spacing w:before="120" w:after="200" w:line="360" w:lineRule="auto"/>
        <w:jc w:val="both"/>
      </w:pPr>
      <w:r>
        <w:rPr>
          <w:rFonts w:hint="default" w:ascii="Times New Roman Bold" w:hAnsi="Times New Roman Bold" w:cs="Times New Roman Bold"/>
          <w:b/>
          <w:bCs/>
          <w:sz w:val="24"/>
          <w:szCs w:val="24"/>
        </w:rPr>
        <w:t xml:space="preserve">Ownership of Pre-existing Intellectual Property: </w:t>
      </w:r>
      <w:r>
        <w:rPr>
          <w:sz w:val="24"/>
          <w:szCs w:val="24"/>
        </w:rPr>
        <w:t xml:space="preserve">The Parties agree and acknowledge that all Intellectual Property Rights owned by a Party prior to the Effective Date of this Memorandum of Understanding, or developed independently of this collaboration, shall remain the sole and exclusive property of that Party. </w:t>
      </w:r>
      <w:r>
        <w:rPr>
          <w:rFonts w:hint="default" w:ascii="Times New Roman Bold" w:hAnsi="Times New Roman Bold" w:cs="Times New Roman Bold"/>
          <w:b/>
          <w:bCs/>
          <w:sz w:val="24"/>
          <w:szCs w:val="24"/>
        </w:rPr>
        <w:t>TURNVE</w:t>
      </w:r>
      <w:r>
        <w:rPr>
          <w:sz w:val="24"/>
          <w:szCs w:val="24"/>
        </w:rPr>
        <w:t xml:space="preserve"> remains the absolute owner of the </w:t>
      </w:r>
      <w:r>
        <w:rPr>
          <w:rFonts w:hint="default" w:ascii="Times New Roman Bold" w:hAnsi="Times New Roman Bold" w:cs="Times New Roman Bold"/>
          <w:b/>
          <w:bCs/>
          <w:sz w:val="24"/>
          <w:szCs w:val="24"/>
        </w:rPr>
        <w:t>TURNVE</w:t>
      </w:r>
      <w:r>
        <w:rPr>
          <w:sz w:val="24"/>
          <w:szCs w:val="24"/>
        </w:rPr>
        <w:t xml:space="preserve"> platform, including but not limited to the underlying software code, architecture, algorithms, interface design, standard simulation library, pedagogical frameworks, and any modifications or enhancements made thereto during the term of this Pilot.</w:t>
      </w:r>
    </w:p>
    <w:p w14:paraId="350088C6">
      <w:pPr>
        <w:pStyle w:val="14"/>
        <w:numPr>
          <w:ilvl w:val="0"/>
          <w:numId w:val="2"/>
        </w:numPr>
        <w:spacing w:before="120" w:after="200" w:line="360" w:lineRule="auto"/>
        <w:jc w:val="both"/>
      </w:pPr>
      <w:r>
        <w:rPr>
          <w:rFonts w:hint="default" w:ascii="Times New Roman Bold" w:hAnsi="Times New Roman Bold" w:cs="Times New Roman Bold"/>
          <w:b/>
          <w:bCs/>
          <w:sz w:val="24"/>
          <w:szCs w:val="24"/>
        </w:rPr>
        <w:t>Ownership of Simulation Content:</w:t>
      </w:r>
      <w:r>
        <w:rPr>
          <w:sz w:val="24"/>
          <w:szCs w:val="24"/>
        </w:rPr>
        <w:t xml:space="preserve"> All content provided by </w:t>
      </w:r>
      <w:r>
        <w:rPr>
          <w:rFonts w:hint="default" w:ascii="Times New Roman Bold" w:hAnsi="Times New Roman Bold" w:cs="Times New Roman Bold"/>
          <w:b/>
          <w:bCs/>
          <w:sz w:val="24"/>
          <w:szCs w:val="24"/>
        </w:rPr>
        <w:t>TURNVE</w:t>
      </w:r>
      <w:r>
        <w:rPr>
          <w:sz w:val="24"/>
          <w:szCs w:val="24"/>
        </w:rPr>
        <w:t xml:space="preserve">, including workplace simulation scenarios, work objectives, assessment criteria, instructional materials, and feedback templates, are the proprietary assets of </w:t>
      </w:r>
      <w:r>
        <w:rPr>
          <w:rFonts w:hint="default" w:ascii="Times New Roman Bold" w:hAnsi="Times New Roman Bold" w:cs="Times New Roman Bold"/>
          <w:b/>
          <w:bCs/>
          <w:sz w:val="24"/>
          <w:szCs w:val="24"/>
        </w:rPr>
        <w:t>TURNVE</w:t>
      </w:r>
      <w:r>
        <w:rPr>
          <w:sz w:val="24"/>
          <w:szCs w:val="24"/>
        </w:rPr>
        <w:t xml:space="preserve">. The </w:t>
      </w:r>
      <w:r>
        <w:rPr>
          <w:rFonts w:hint="default" w:ascii="Times New Roman Bold" w:hAnsi="Times New Roman Bold" w:cs="Times New Roman Bold"/>
          <w:b/>
          <w:bCs/>
          <w:sz w:val="24"/>
          <w:szCs w:val="24"/>
        </w:rPr>
        <w:t>PARTNER</w:t>
      </w:r>
      <w:r>
        <w:rPr>
          <w:sz w:val="24"/>
          <w:szCs w:val="24"/>
        </w:rPr>
        <w:t xml:space="preserve"> is granted a non-exclusive, non-transferable, and revocable license to use such content solely for the purposes of the 3-week Pilot Project and for the benefit of the selected learners, subject to the terms of this Agreement.</w:t>
      </w:r>
    </w:p>
    <w:p w14:paraId="5543FE13">
      <w:pPr>
        <w:pStyle w:val="14"/>
        <w:numPr>
          <w:ilvl w:val="0"/>
          <w:numId w:val="2"/>
        </w:numPr>
        <w:spacing w:before="120" w:after="200" w:line="360" w:lineRule="auto"/>
        <w:jc w:val="both"/>
      </w:pPr>
      <w:r>
        <w:rPr>
          <w:rFonts w:hint="default" w:ascii="Times New Roman Bold" w:hAnsi="Times New Roman Bold" w:cs="Times New Roman Bold"/>
          <w:b/>
          <w:bCs/>
          <w:sz w:val="24"/>
          <w:szCs w:val="24"/>
        </w:rPr>
        <w:t>Custom Co-built Simulations:</w:t>
      </w:r>
      <w:r>
        <w:rPr>
          <w:sz w:val="24"/>
          <w:szCs w:val="24"/>
        </w:rPr>
        <w:t xml:space="preserve"> In the event that the Parties collaborate to create "Custom Co-built Simulations" as contemplated under Section 6.0, the following ownership structure shall apply: (a) </w:t>
      </w:r>
      <w:r>
        <w:rPr>
          <w:rFonts w:hint="default" w:ascii="Times New Roman Bold" w:hAnsi="Times New Roman Bold" w:cs="Times New Roman Bold"/>
          <w:b/>
          <w:bCs/>
          <w:sz w:val="24"/>
          <w:szCs w:val="24"/>
        </w:rPr>
        <w:t>TURNVE</w:t>
      </w:r>
      <w:r>
        <w:rPr>
          <w:sz w:val="24"/>
          <w:szCs w:val="24"/>
        </w:rPr>
        <w:t xml:space="preserve"> shall retain ownership of the platform mechanics, structure, and delivery format of the simulation; (b) The</w:t>
      </w:r>
      <w:r>
        <w:rPr>
          <w:rFonts w:hint="default" w:ascii="Times New Roman Bold" w:hAnsi="Times New Roman Bold" w:cs="Times New Roman Bold"/>
          <w:b/>
          <w:bCs/>
          <w:sz w:val="24"/>
          <w:szCs w:val="24"/>
        </w:rPr>
        <w:t xml:space="preserve"> PARTNER</w:t>
      </w:r>
      <w:r>
        <w:rPr>
          <w:sz w:val="24"/>
          <w:szCs w:val="24"/>
        </w:rPr>
        <w:t xml:space="preserve"> shall retain ownership of any specific proprietary data, industry-specific case studies, or internal documents provided by the </w:t>
      </w:r>
      <w:r>
        <w:rPr>
          <w:rFonts w:hint="default" w:ascii="Times New Roman Bold" w:hAnsi="Times New Roman Bold" w:cs="Times New Roman Bold"/>
          <w:b/>
          <w:bCs/>
          <w:sz w:val="24"/>
          <w:szCs w:val="24"/>
        </w:rPr>
        <w:t>PARTNER</w:t>
      </w:r>
      <w:r>
        <w:rPr>
          <w:sz w:val="24"/>
          <w:szCs w:val="24"/>
        </w:rPr>
        <w:t xml:space="preserve"> to form the basis of the simulation; and (c) The resulting integrated simulation product shall be subject to a joint-use agreement, whereby </w:t>
      </w:r>
      <w:r>
        <w:rPr>
          <w:rFonts w:hint="default" w:ascii="Times New Roman Bold" w:hAnsi="Times New Roman Bold" w:cs="Times New Roman Bold"/>
          <w:b/>
          <w:bCs/>
          <w:sz w:val="24"/>
          <w:szCs w:val="24"/>
        </w:rPr>
        <w:t>TURNVE</w:t>
      </w:r>
      <w:r>
        <w:rPr>
          <w:sz w:val="24"/>
          <w:szCs w:val="24"/>
        </w:rPr>
        <w:t xml:space="preserve"> retains the right to host and manage the simulation, while the </w:t>
      </w:r>
      <w:r>
        <w:rPr>
          <w:rFonts w:hint="default" w:ascii="Times New Roman Bold" w:hAnsi="Times New Roman Bold" w:cs="Times New Roman Bold"/>
          <w:b/>
          <w:bCs/>
          <w:sz w:val="24"/>
          <w:szCs w:val="24"/>
        </w:rPr>
        <w:t>PARTNER</w:t>
      </w:r>
      <w:r>
        <w:rPr>
          <w:sz w:val="24"/>
          <w:szCs w:val="24"/>
        </w:rPr>
        <w:t xml:space="preserve"> retains the right to have its learners access such simulations under the agreed subscription terms.</w:t>
      </w:r>
    </w:p>
    <w:p w14:paraId="1CDEF89F">
      <w:pPr>
        <w:pStyle w:val="14"/>
        <w:numPr>
          <w:ilvl w:val="0"/>
          <w:numId w:val="2"/>
        </w:numPr>
        <w:spacing w:before="120" w:after="200" w:line="360" w:lineRule="auto"/>
        <w:jc w:val="both"/>
      </w:pPr>
      <w:r>
        <w:rPr>
          <w:rFonts w:hint="default" w:ascii="Times New Roman Bold" w:hAnsi="Times New Roman Bold" w:cs="Times New Roman Bold"/>
          <w:b/>
          <w:bCs/>
          <w:sz w:val="24"/>
          <w:szCs w:val="24"/>
        </w:rPr>
        <w:t>Intellectual Property in Learner Deliverables:</w:t>
      </w:r>
      <w:r>
        <w:rPr>
          <w:sz w:val="24"/>
          <w:szCs w:val="24"/>
        </w:rPr>
        <w:t xml:space="preserve"> All practical work outputs, deliverables, and "Proof of Work" generated by learners during the course of the simulations shall be owned by the respective learners to facilitate the building of their professional portfolios. However, both TURNVE and the PARTNER shall have a perpetual, royalty-free license to use anonymized versions of such deliverables for the purposes of platform improvement, quality assurance, research, and marketing of the Pilot's success metrics.</w:t>
      </w:r>
    </w:p>
    <w:p w14:paraId="77FCD609">
      <w:pPr>
        <w:pStyle w:val="14"/>
        <w:numPr>
          <w:ilvl w:val="0"/>
          <w:numId w:val="2"/>
        </w:numPr>
        <w:spacing w:before="120" w:after="200" w:line="360" w:lineRule="auto"/>
        <w:jc w:val="both"/>
      </w:pPr>
      <w:r>
        <w:rPr>
          <w:rFonts w:hint="default" w:ascii="Times New Roman Bold" w:hAnsi="Times New Roman Bold" w:cs="Times New Roman Bold"/>
          <w:b/>
          <w:bCs/>
          <w:sz w:val="24"/>
          <w:szCs w:val="24"/>
        </w:rPr>
        <w:t>Protection of Trademarks:</w:t>
      </w:r>
      <w:r>
        <w:rPr>
          <w:sz w:val="24"/>
          <w:szCs w:val="24"/>
        </w:rPr>
        <w:t xml:space="preserve"> Neither Party shall use the other Party's trademarks, trade names, logos, or branding in any press release, marketing material, or public announcement without the prior written consent of the owning Party. Any goodwill generated through the authorized use of such marks shall inure solely to the benefit of the trademark owner.</w:t>
      </w:r>
    </w:p>
    <w:p w14:paraId="338F0F2A">
      <w:pPr>
        <w:pStyle w:val="14"/>
        <w:numPr>
          <w:ilvl w:val="0"/>
          <w:numId w:val="2"/>
        </w:numPr>
        <w:spacing w:before="120" w:after="200" w:line="360" w:lineRule="auto"/>
        <w:jc w:val="both"/>
      </w:pPr>
      <w:r>
        <w:rPr>
          <w:rFonts w:hint="default" w:ascii="Times New Roman Bold" w:hAnsi="Times New Roman Bold" w:cs="Times New Roman Bold"/>
          <w:b/>
          <w:bCs/>
          <w:sz w:val="24"/>
          <w:szCs w:val="24"/>
        </w:rPr>
        <w:t>Infringement Claims:</w:t>
      </w:r>
      <w:r>
        <w:rPr>
          <w:sz w:val="24"/>
          <w:szCs w:val="24"/>
        </w:rPr>
        <w:t xml:space="preserve"> Each Party represents and warrants that to the best of its knowledge, the materials and technology provided for the Pilot do not infringe upon the intellectual property rights of any third party. Each Party shall indemnify the other against any third-party claims arising from a breach of this representation.</w:t>
      </w:r>
    </w:p>
    <w:p w14:paraId="6759D45E">
      <w:pPr>
        <w:pStyle w:val="14"/>
        <w:numPr>
          <w:ilvl w:val="0"/>
          <w:numId w:val="1"/>
        </w:numPr>
        <w:spacing w:before="120" w:after="200" w:line="360" w:lineRule="auto"/>
        <w:jc w:val="left"/>
      </w:pPr>
      <w:r>
        <w:rPr>
          <w:b/>
          <w:bCs/>
          <w:sz w:val="24"/>
          <w:szCs w:val="24"/>
        </w:rPr>
        <w:t>SECTION 8.0: CONFIDENTIALITY AND NON-DISCLOSURE</w:t>
      </w:r>
    </w:p>
    <w:p w14:paraId="3510C921">
      <w:pPr>
        <w:pStyle w:val="14"/>
        <w:numPr>
          <w:ilvl w:val="0"/>
          <w:numId w:val="2"/>
        </w:numPr>
        <w:spacing w:before="120" w:after="200" w:line="360" w:lineRule="auto"/>
        <w:jc w:val="both"/>
      </w:pPr>
      <w:r>
        <w:rPr>
          <w:rFonts w:hint="default" w:ascii="Times New Roman Bold" w:hAnsi="Times New Roman Bold" w:cs="Times New Roman Bold"/>
          <w:b/>
          <w:bCs/>
          <w:sz w:val="24"/>
          <w:szCs w:val="24"/>
        </w:rPr>
        <w:t>Definition of Confidential Information:</w:t>
      </w:r>
      <w:r>
        <w:rPr>
          <w:sz w:val="24"/>
          <w:szCs w:val="24"/>
        </w:rPr>
        <w:t xml:space="preserve"> For the purposes of this Memorandum, "Confidential Information" shall mean any data or information that is proprietary to a Party and not generally known to the public, whether in tangible or intangible form, including but not limited to trade secrets, platform mechanics, software architecture, business processes, training methodologies, learner performance data, pricing structures, and the specific terms of this collaboration.</w:t>
      </w:r>
    </w:p>
    <w:p w14:paraId="168C587B">
      <w:pPr>
        <w:pStyle w:val="14"/>
        <w:numPr>
          <w:ilvl w:val="0"/>
          <w:numId w:val="2"/>
        </w:numPr>
        <w:spacing w:before="120" w:after="200" w:line="360" w:lineRule="auto"/>
        <w:jc w:val="both"/>
      </w:pPr>
      <w:r>
        <w:rPr>
          <w:rFonts w:hint="default" w:ascii="Times New Roman Bold" w:hAnsi="Times New Roman Bold" w:cs="Times New Roman Bold"/>
          <w:b/>
          <w:bCs/>
          <w:sz w:val="24"/>
          <w:szCs w:val="24"/>
        </w:rPr>
        <w:t xml:space="preserve">Non-Disclosure Obligations: </w:t>
      </w:r>
      <w:r>
        <w:rPr>
          <w:sz w:val="24"/>
          <w:szCs w:val="24"/>
        </w:rPr>
        <w:t xml:space="preserve">Both </w:t>
      </w:r>
      <w:r>
        <w:rPr>
          <w:rFonts w:hint="default" w:ascii="Times New Roman Bold" w:hAnsi="Times New Roman Bold" w:cs="Times New Roman Bold"/>
          <w:b/>
          <w:bCs/>
          <w:sz w:val="24"/>
          <w:szCs w:val="24"/>
        </w:rPr>
        <w:t>TURNVE</w:t>
      </w:r>
      <w:r>
        <w:rPr>
          <w:sz w:val="24"/>
          <w:szCs w:val="24"/>
        </w:rPr>
        <w:t xml:space="preserve"> and the </w:t>
      </w:r>
      <w:r>
        <w:rPr>
          <w:rFonts w:hint="default" w:ascii="Times New Roman Bold" w:hAnsi="Times New Roman Bold" w:cs="Times New Roman Bold"/>
          <w:b/>
          <w:bCs/>
          <w:sz w:val="24"/>
          <w:szCs w:val="24"/>
        </w:rPr>
        <w:t>PARTNER</w:t>
      </w:r>
      <w:r>
        <w:rPr>
          <w:sz w:val="24"/>
          <w:szCs w:val="24"/>
        </w:rPr>
        <w:t xml:space="preserve"> agree to hold the Confidential Information of the other Party in strict confidence and to exercise at least the same degree of care that it exercises to protect its own confidential information of a similar nature. Neither Party shall disclose, permit the disclosure of, or use the Confidential Information of the other Party for any purpose other than the performance of their respective obligations under this Pilot.</w:t>
      </w:r>
    </w:p>
    <w:p w14:paraId="014DE4F1">
      <w:pPr>
        <w:pStyle w:val="14"/>
        <w:numPr>
          <w:ilvl w:val="0"/>
          <w:numId w:val="2"/>
        </w:numPr>
        <w:spacing w:before="120" w:after="200" w:line="360" w:lineRule="auto"/>
        <w:jc w:val="both"/>
      </w:pPr>
      <w:r>
        <w:rPr>
          <w:rFonts w:hint="default" w:ascii="Times New Roman Bold" w:hAnsi="Times New Roman Bold" w:cs="Times New Roman Bold"/>
          <w:b/>
          <w:bCs/>
          <w:sz w:val="24"/>
          <w:szCs w:val="24"/>
        </w:rPr>
        <w:t>Authorized Disclosure:</w:t>
      </w:r>
      <w:r>
        <w:rPr>
          <w:sz w:val="24"/>
          <w:szCs w:val="24"/>
        </w:rPr>
        <w:t xml:space="preserve"> A Party may disclose Confidential Information only to those of its employees, consultants, or agents who have a legitimate "need to know" the information for the purposes of the Pilot and who are bound by confidentiality obligations at least as restrictive as those contained herein. Any breach of confidentiality by such personnel shall be deemed a breach by the Party itself.</w:t>
      </w:r>
    </w:p>
    <w:p w14:paraId="5CA2FB7D">
      <w:pPr>
        <w:pStyle w:val="14"/>
        <w:numPr>
          <w:ilvl w:val="0"/>
          <w:numId w:val="2"/>
        </w:numPr>
        <w:spacing w:before="120" w:after="200" w:line="360" w:lineRule="auto"/>
        <w:jc w:val="both"/>
      </w:pPr>
      <w:r>
        <w:rPr>
          <w:rFonts w:hint="default" w:ascii="Times New Roman Bold" w:hAnsi="Times New Roman Bold" w:cs="Times New Roman Bold"/>
          <w:b/>
          <w:bCs/>
          <w:sz w:val="24"/>
          <w:szCs w:val="24"/>
        </w:rPr>
        <w:t>Exceptions to Confidentiality:</w:t>
      </w:r>
      <w:r>
        <w:rPr>
          <w:sz w:val="24"/>
          <w:szCs w:val="24"/>
        </w:rPr>
        <w:t xml:space="preserve"> The obligations of confidentiality shall not apply to information that: </w:t>
      </w:r>
      <w:r>
        <w:rPr>
          <w:rFonts w:hint="default" w:ascii="Times New Roman Bold" w:hAnsi="Times New Roman Bold" w:cs="Times New Roman Bold"/>
          <w:b/>
          <w:bCs/>
          <w:sz w:val="24"/>
          <w:szCs w:val="24"/>
        </w:rPr>
        <w:t>(a)</w:t>
      </w:r>
      <w:r>
        <w:rPr>
          <w:sz w:val="24"/>
          <w:szCs w:val="24"/>
        </w:rPr>
        <w:t xml:space="preserve"> is or becomes part of the public domain through no fault of the receiving Party; </w:t>
      </w:r>
      <w:r>
        <w:rPr>
          <w:rFonts w:hint="default" w:ascii="Times New Roman Bold" w:hAnsi="Times New Roman Bold" w:cs="Times New Roman Bold"/>
          <w:b/>
          <w:bCs/>
          <w:sz w:val="24"/>
          <w:szCs w:val="24"/>
        </w:rPr>
        <w:t>(b)</w:t>
      </w:r>
      <w:r>
        <w:rPr>
          <w:sz w:val="24"/>
          <w:szCs w:val="24"/>
        </w:rPr>
        <w:t xml:space="preserve"> was already in the possession of the receiving Party without restriction prior to disclosure; </w:t>
      </w:r>
      <w:r>
        <w:rPr>
          <w:rFonts w:hint="default" w:ascii="Times New Roman Bold" w:hAnsi="Times New Roman Bold" w:cs="Times New Roman Bold"/>
          <w:b/>
          <w:bCs/>
          <w:sz w:val="24"/>
          <w:szCs w:val="24"/>
        </w:rPr>
        <w:t>(c)</w:t>
      </w:r>
      <w:r>
        <w:rPr>
          <w:sz w:val="24"/>
          <w:szCs w:val="24"/>
        </w:rPr>
        <w:t xml:space="preserve"> is independently developed by the receiving Party without use of the disclosing Party's Confidential Information; or </w:t>
      </w:r>
      <w:r>
        <w:rPr>
          <w:rFonts w:hint="default" w:ascii="Times New Roman Bold" w:hAnsi="Times New Roman Bold" w:cs="Times New Roman Bold"/>
          <w:b/>
          <w:bCs/>
          <w:sz w:val="24"/>
          <w:szCs w:val="24"/>
        </w:rPr>
        <w:t>(d)</w:t>
      </w:r>
      <w:r>
        <w:rPr>
          <w:sz w:val="24"/>
          <w:szCs w:val="24"/>
        </w:rPr>
        <w:t xml:space="preserve"> is required to be disclosed by law or court order, provided the receiving Party gives the disclosing Party prompt notice of such requirement.</w:t>
      </w:r>
    </w:p>
    <w:p w14:paraId="3BA5B1EB">
      <w:pPr>
        <w:pStyle w:val="14"/>
        <w:numPr>
          <w:ilvl w:val="0"/>
          <w:numId w:val="2"/>
        </w:numPr>
        <w:spacing w:before="120" w:after="200" w:line="360" w:lineRule="auto"/>
        <w:jc w:val="both"/>
      </w:pPr>
      <w:r>
        <w:rPr>
          <w:rFonts w:hint="default" w:ascii="Times New Roman Bold" w:hAnsi="Times New Roman Bold" w:cs="Times New Roman Bold"/>
          <w:b/>
          <w:bCs/>
          <w:sz w:val="24"/>
          <w:szCs w:val="24"/>
        </w:rPr>
        <w:t>Proprietary Training Methodologies:</w:t>
      </w:r>
      <w:r>
        <w:rPr>
          <w:sz w:val="24"/>
          <w:szCs w:val="24"/>
        </w:rPr>
        <w:t xml:space="preserve"> The </w:t>
      </w:r>
      <w:r>
        <w:rPr>
          <w:rFonts w:hint="default" w:ascii="Times New Roman Bold" w:hAnsi="Times New Roman Bold" w:cs="Times New Roman Bold"/>
          <w:b/>
          <w:bCs/>
          <w:sz w:val="24"/>
          <w:szCs w:val="24"/>
        </w:rPr>
        <w:t>PARTNER</w:t>
      </w:r>
      <w:r>
        <w:rPr>
          <w:sz w:val="24"/>
          <w:szCs w:val="24"/>
        </w:rPr>
        <w:t xml:space="preserve"> specifically acknowledges that TURNVE's simulation-based learning methodology, including the sequence of tasks, assessment logic, and learner feedback loops, constitutes a significant trade secret. The </w:t>
      </w:r>
      <w:r>
        <w:rPr>
          <w:rFonts w:hint="default" w:ascii="Times New Roman Bold" w:hAnsi="Times New Roman Bold" w:cs="Times New Roman Bold"/>
          <w:b/>
          <w:bCs/>
          <w:sz w:val="24"/>
          <w:szCs w:val="24"/>
        </w:rPr>
        <w:t xml:space="preserve">PARTNER </w:t>
      </w:r>
      <w:r>
        <w:rPr>
          <w:sz w:val="24"/>
          <w:szCs w:val="24"/>
        </w:rPr>
        <w:t>agrees not to reverse-engineer, decompile, or attempt to create a derivative platform based on the methodologies exposed during the Pilot.</w:t>
      </w:r>
    </w:p>
    <w:p w14:paraId="70EDE1D7">
      <w:pPr>
        <w:pStyle w:val="14"/>
        <w:numPr>
          <w:ilvl w:val="0"/>
          <w:numId w:val="2"/>
        </w:numPr>
        <w:spacing w:before="120" w:after="200" w:line="360" w:lineRule="auto"/>
        <w:jc w:val="both"/>
      </w:pPr>
      <w:r>
        <w:rPr>
          <w:rFonts w:hint="default" w:ascii="Times New Roman Bold" w:hAnsi="Times New Roman Bold" w:cs="Times New Roman Bold"/>
          <w:b/>
          <w:bCs/>
          <w:sz w:val="24"/>
          <w:szCs w:val="24"/>
        </w:rPr>
        <w:t xml:space="preserve">Survival of Obligations: </w:t>
      </w:r>
      <w:r>
        <w:rPr>
          <w:sz w:val="24"/>
          <w:szCs w:val="24"/>
        </w:rPr>
        <w:t>The obligations of confidentiality set forth in this Section 8.0 shall survive the termination or expiration of this Memorandum of Understanding for a period of five (5) years.</w:t>
      </w:r>
    </w:p>
    <w:p w14:paraId="27F44152">
      <w:pPr>
        <w:pStyle w:val="14"/>
        <w:numPr>
          <w:ilvl w:val="0"/>
          <w:numId w:val="1"/>
        </w:numPr>
        <w:spacing w:before="120" w:after="200" w:line="360" w:lineRule="auto"/>
        <w:jc w:val="left"/>
      </w:pPr>
      <w:r>
        <w:rPr>
          <w:b/>
          <w:bCs/>
          <w:sz w:val="24"/>
          <w:szCs w:val="24"/>
        </w:rPr>
        <w:t>SECTION 9.0: DATA PROTECTION AND PRIVACY</w:t>
      </w:r>
    </w:p>
    <w:p w14:paraId="5DB102B5">
      <w:pPr>
        <w:pStyle w:val="14"/>
        <w:numPr>
          <w:ilvl w:val="0"/>
          <w:numId w:val="2"/>
        </w:numPr>
        <w:spacing w:before="120" w:after="200" w:line="360" w:lineRule="auto"/>
        <w:jc w:val="both"/>
      </w:pPr>
      <w:r>
        <w:rPr>
          <w:rFonts w:hint="default" w:ascii="Times New Roman Bold" w:hAnsi="Times New Roman Bold" w:cs="Times New Roman Bold"/>
          <w:b/>
          <w:bCs/>
          <w:sz w:val="24"/>
          <w:szCs w:val="24"/>
        </w:rPr>
        <w:t>Compliance with Data Laws:</w:t>
      </w:r>
      <w:r>
        <w:rPr>
          <w:sz w:val="24"/>
          <w:szCs w:val="24"/>
        </w:rPr>
        <w:t xml:space="preserve"> Both Parties shall comply with all applicable data protection and privacy laws, including the Nigeria Data Protection Act (NDPA) and any other relevant regulations governing the collection, storage, and processing of personal data. </w:t>
      </w:r>
      <w:r>
        <w:rPr>
          <w:rFonts w:hint="default" w:ascii="Times New Roman Bold" w:hAnsi="Times New Roman Bold" w:cs="Times New Roman Bold"/>
          <w:b/>
          <w:bCs/>
          <w:sz w:val="24"/>
          <w:szCs w:val="24"/>
        </w:rPr>
        <w:t>TURNVE</w:t>
      </w:r>
      <w:r>
        <w:rPr>
          <w:sz w:val="24"/>
          <w:szCs w:val="24"/>
        </w:rPr>
        <w:t xml:space="preserve"> shall act as the Data Processor and the </w:t>
      </w:r>
      <w:r>
        <w:rPr>
          <w:rFonts w:hint="default" w:ascii="Times New Roman Bold" w:hAnsi="Times New Roman Bold" w:cs="Times New Roman Bold"/>
          <w:b/>
          <w:bCs/>
          <w:sz w:val="24"/>
          <w:szCs w:val="24"/>
        </w:rPr>
        <w:t>PARTNER</w:t>
      </w:r>
      <w:r>
        <w:rPr>
          <w:sz w:val="24"/>
          <w:szCs w:val="24"/>
        </w:rPr>
        <w:t xml:space="preserve"> shall act as the Data Controller in respect of the learner information provided for the Pilot.</w:t>
      </w:r>
    </w:p>
    <w:p w14:paraId="3D537E77">
      <w:pPr>
        <w:pStyle w:val="14"/>
        <w:numPr>
          <w:ilvl w:val="0"/>
          <w:numId w:val="2"/>
        </w:numPr>
        <w:spacing w:before="120" w:after="200" w:line="360" w:lineRule="auto"/>
        <w:jc w:val="both"/>
      </w:pPr>
      <w:r>
        <w:rPr>
          <w:rFonts w:hint="default" w:ascii="Times New Roman Bold" w:hAnsi="Times New Roman Bold" w:cs="Times New Roman Bold"/>
          <w:b/>
          <w:bCs/>
          <w:sz w:val="24"/>
          <w:szCs w:val="24"/>
        </w:rPr>
        <w:t xml:space="preserve">Collection of Learner Information: </w:t>
      </w:r>
      <w:r>
        <w:rPr>
          <w:sz w:val="24"/>
          <w:szCs w:val="24"/>
        </w:rPr>
        <w:t xml:space="preserve">The </w:t>
      </w:r>
      <w:r>
        <w:rPr>
          <w:rFonts w:hint="default" w:ascii="Times New Roman Bold" w:hAnsi="Times New Roman Bold" w:cs="Times New Roman Bold"/>
          <w:b/>
          <w:bCs/>
          <w:sz w:val="24"/>
          <w:szCs w:val="24"/>
        </w:rPr>
        <w:t>PARTNER</w:t>
      </w:r>
      <w:r>
        <w:rPr>
          <w:sz w:val="24"/>
          <w:szCs w:val="24"/>
        </w:rPr>
        <w:t xml:space="preserve"> shall ensure that it has obtained all necessary consents from the learners prior to sharing their personal data (names, email addresses, and educational backgrounds) with </w:t>
      </w:r>
      <w:r>
        <w:rPr>
          <w:rFonts w:hint="default" w:ascii="Times New Roman Bold" w:hAnsi="Times New Roman Bold" w:cs="Times New Roman Bold"/>
          <w:b/>
          <w:bCs/>
          <w:sz w:val="24"/>
          <w:szCs w:val="24"/>
        </w:rPr>
        <w:t>TURNVE</w:t>
      </w:r>
      <w:r>
        <w:rPr>
          <w:sz w:val="24"/>
          <w:szCs w:val="24"/>
        </w:rPr>
        <w:t xml:space="preserve"> for platform onboarding. Learners shall be provided with a privacy notice explaining how their data will be used within the simulation environment.</w:t>
      </w:r>
    </w:p>
    <w:p w14:paraId="736EB10E">
      <w:pPr>
        <w:pStyle w:val="14"/>
        <w:numPr>
          <w:ilvl w:val="0"/>
          <w:numId w:val="2"/>
        </w:numPr>
        <w:spacing w:before="120" w:after="200" w:line="360" w:lineRule="auto"/>
        <w:jc w:val="both"/>
      </w:pPr>
      <w:r>
        <w:rPr>
          <w:rFonts w:hint="default" w:ascii="Times New Roman Bold" w:hAnsi="Times New Roman Bold" w:cs="Times New Roman Bold"/>
          <w:b/>
          <w:bCs/>
          <w:sz w:val="24"/>
          <w:szCs w:val="24"/>
        </w:rPr>
        <w:t xml:space="preserve">Purpose Limitation: TURNVE </w:t>
      </w:r>
      <w:r>
        <w:rPr>
          <w:sz w:val="24"/>
          <w:szCs w:val="24"/>
        </w:rPr>
        <w:t xml:space="preserve">shall process learner data solely for the purposes of: </w:t>
      </w:r>
      <w:r>
        <w:rPr>
          <w:rFonts w:hint="default" w:ascii="Times New Roman Bold" w:hAnsi="Times New Roman Bold" w:cs="Times New Roman Bold"/>
          <w:b/>
          <w:bCs/>
          <w:sz w:val="24"/>
          <w:szCs w:val="24"/>
        </w:rPr>
        <w:t>(a)</w:t>
      </w:r>
      <w:r>
        <w:rPr>
          <w:sz w:val="24"/>
          <w:szCs w:val="24"/>
        </w:rPr>
        <w:t xml:space="preserve"> facilitating access to the simulations; </w:t>
      </w:r>
      <w:r>
        <w:rPr>
          <w:rFonts w:hint="default" w:ascii="Times New Roman Bold" w:hAnsi="Times New Roman Bold" w:cs="Times New Roman Bold"/>
          <w:b/>
          <w:bCs/>
          <w:sz w:val="24"/>
          <w:szCs w:val="24"/>
        </w:rPr>
        <w:t>(b)</w:t>
      </w:r>
      <w:r>
        <w:rPr>
          <w:sz w:val="24"/>
          <w:szCs w:val="24"/>
        </w:rPr>
        <w:t xml:space="preserve"> tracking learner progress and task performance; </w:t>
      </w:r>
      <w:r>
        <w:rPr>
          <w:rFonts w:hint="default" w:ascii="Times New Roman Bold" w:hAnsi="Times New Roman Bold" w:cs="Times New Roman Bold"/>
          <w:b/>
          <w:bCs/>
          <w:sz w:val="24"/>
          <w:szCs w:val="24"/>
        </w:rPr>
        <w:t>(c)</w:t>
      </w:r>
      <w:r>
        <w:rPr>
          <w:sz w:val="24"/>
          <w:szCs w:val="24"/>
        </w:rPr>
        <w:t xml:space="preserve"> generating individual and aggregate performance reports; and </w:t>
      </w:r>
      <w:r>
        <w:rPr>
          <w:rFonts w:hint="default" w:ascii="Times New Roman Bold" w:hAnsi="Times New Roman Bold" w:cs="Times New Roman Bold"/>
          <w:b/>
          <w:bCs/>
          <w:sz w:val="24"/>
          <w:szCs w:val="24"/>
        </w:rPr>
        <w:t xml:space="preserve">(d) </w:t>
      </w:r>
      <w:r>
        <w:rPr>
          <w:sz w:val="24"/>
          <w:szCs w:val="24"/>
        </w:rPr>
        <w:t xml:space="preserve">providing structured feedback to the learners and the </w:t>
      </w:r>
      <w:r>
        <w:rPr>
          <w:rFonts w:hint="default" w:ascii="Times New Roman Bold" w:hAnsi="Times New Roman Bold" w:cs="Times New Roman Bold"/>
          <w:b/>
          <w:bCs/>
          <w:sz w:val="24"/>
          <w:szCs w:val="24"/>
        </w:rPr>
        <w:t>PARTNER.</w:t>
      </w:r>
    </w:p>
    <w:p w14:paraId="1F911F79">
      <w:pPr>
        <w:pStyle w:val="14"/>
        <w:numPr>
          <w:ilvl w:val="0"/>
          <w:numId w:val="2"/>
        </w:numPr>
        <w:spacing w:before="120" w:after="200" w:line="360" w:lineRule="auto"/>
        <w:jc w:val="both"/>
      </w:pPr>
      <w:r>
        <w:rPr>
          <w:rFonts w:hint="default" w:ascii="Times New Roman Bold" w:hAnsi="Times New Roman Bold" w:cs="Times New Roman Bold"/>
          <w:b/>
          <w:bCs/>
          <w:sz w:val="24"/>
          <w:szCs w:val="24"/>
        </w:rPr>
        <w:t>Data Security Measures:</w:t>
      </w:r>
      <w:r>
        <w:rPr>
          <w:sz w:val="24"/>
          <w:szCs w:val="24"/>
        </w:rPr>
        <w:t xml:space="preserve"> </w:t>
      </w:r>
      <w:r>
        <w:rPr>
          <w:rFonts w:hint="default" w:ascii="Times New Roman Bold" w:hAnsi="Times New Roman Bold" w:cs="Times New Roman Bold"/>
          <w:b/>
          <w:bCs/>
          <w:sz w:val="24"/>
          <w:szCs w:val="24"/>
        </w:rPr>
        <w:t>TURNVE</w:t>
      </w:r>
      <w:r>
        <w:rPr>
          <w:sz w:val="24"/>
          <w:szCs w:val="24"/>
        </w:rPr>
        <w:t xml:space="preserve"> shall implement appropriate technical and organizational measures to protect learner data against unauthorized or unlawful processing and against accidental loss, destruction, or damage. This includes the use of encryption, secure servers, and restricted access protocols.</w:t>
      </w:r>
    </w:p>
    <w:p w14:paraId="0C787B98">
      <w:pPr>
        <w:pStyle w:val="14"/>
        <w:numPr>
          <w:ilvl w:val="0"/>
          <w:numId w:val="2"/>
        </w:numPr>
        <w:spacing w:before="120" w:after="200" w:line="360" w:lineRule="auto"/>
        <w:jc w:val="both"/>
      </w:pPr>
      <w:r>
        <w:rPr>
          <w:rFonts w:hint="default" w:ascii="Times New Roman Bold" w:hAnsi="Times New Roman Bold" w:cs="Times New Roman Bold"/>
          <w:b/>
          <w:bCs/>
          <w:sz w:val="24"/>
          <w:szCs w:val="24"/>
        </w:rPr>
        <w:t>Handling of Performance Metrics:</w:t>
      </w:r>
      <w:r>
        <w:rPr>
          <w:sz w:val="24"/>
          <w:szCs w:val="24"/>
        </w:rPr>
        <w:t xml:space="preserve"> Data related to learner performance, including assessment scores and skill gaps identified during the simulations, shall be treated with high sensitivity. </w:t>
      </w:r>
      <w:r>
        <w:rPr>
          <w:rFonts w:hint="default" w:ascii="Times New Roman Bold" w:hAnsi="Times New Roman Bold" w:cs="Times New Roman Bold"/>
          <w:b/>
          <w:bCs/>
          <w:sz w:val="24"/>
          <w:szCs w:val="24"/>
        </w:rPr>
        <w:t>TURNVE</w:t>
      </w:r>
      <w:r>
        <w:rPr>
          <w:sz w:val="24"/>
          <w:szCs w:val="24"/>
        </w:rPr>
        <w:t xml:space="preserve"> shall provide the</w:t>
      </w:r>
      <w:r>
        <w:rPr>
          <w:rFonts w:hint="default" w:ascii="Times New Roman Bold" w:hAnsi="Times New Roman Bold" w:cs="Times New Roman Bold"/>
          <w:b/>
          <w:bCs/>
          <w:sz w:val="24"/>
          <w:szCs w:val="24"/>
        </w:rPr>
        <w:t xml:space="preserve"> PARTNER</w:t>
      </w:r>
      <w:r>
        <w:rPr>
          <w:sz w:val="24"/>
          <w:szCs w:val="24"/>
        </w:rPr>
        <w:t xml:space="preserve"> with aggregate insights but shall only provide individual performance data to the </w:t>
      </w:r>
      <w:r>
        <w:rPr>
          <w:rFonts w:hint="default" w:ascii="Times New Roman Bold" w:hAnsi="Times New Roman Bold" w:cs="Times New Roman Bold"/>
          <w:b/>
          <w:bCs/>
          <w:sz w:val="24"/>
          <w:szCs w:val="24"/>
        </w:rPr>
        <w:t>PARTNER</w:t>
      </w:r>
      <w:r>
        <w:rPr>
          <w:sz w:val="24"/>
          <w:szCs w:val="24"/>
        </w:rPr>
        <w:t xml:space="preserve"> for the purpose of further career development and placement support for said learners.</w:t>
      </w:r>
    </w:p>
    <w:p w14:paraId="589D3842">
      <w:pPr>
        <w:pStyle w:val="14"/>
        <w:numPr>
          <w:ilvl w:val="0"/>
          <w:numId w:val="2"/>
        </w:numPr>
        <w:spacing w:before="120" w:after="200" w:line="360" w:lineRule="auto"/>
        <w:jc w:val="both"/>
      </w:pPr>
      <w:r>
        <w:rPr>
          <w:rFonts w:hint="default" w:ascii="Times New Roman Bold" w:hAnsi="Times New Roman Bold" w:cs="Times New Roman Bold"/>
          <w:b/>
          <w:bCs/>
          <w:sz w:val="24"/>
          <w:szCs w:val="24"/>
        </w:rPr>
        <w:t xml:space="preserve">Data Retention and Deletion: </w:t>
      </w:r>
      <w:r>
        <w:rPr>
          <w:sz w:val="24"/>
          <w:szCs w:val="24"/>
        </w:rPr>
        <w:t xml:space="preserve">Upon the conclusion of the Pilot and the delivery of the final report, </w:t>
      </w:r>
      <w:r>
        <w:rPr>
          <w:rFonts w:hint="default" w:ascii="Times New Roman Bold" w:hAnsi="Times New Roman Bold" w:cs="Times New Roman Bold"/>
          <w:b/>
          <w:bCs/>
          <w:sz w:val="24"/>
          <w:szCs w:val="24"/>
        </w:rPr>
        <w:t>TURNVE</w:t>
      </w:r>
      <w:r>
        <w:rPr>
          <w:sz w:val="24"/>
          <w:szCs w:val="24"/>
        </w:rPr>
        <w:t xml:space="preserve"> shall retain learner data only for as long as is necessary to fulfill the objectives of the partnership or as required by law. At the written request of the </w:t>
      </w:r>
      <w:r>
        <w:rPr>
          <w:rFonts w:hint="default" w:ascii="Times New Roman Bold" w:hAnsi="Times New Roman Bold" w:cs="Times New Roman Bold"/>
          <w:b/>
          <w:bCs/>
          <w:sz w:val="24"/>
          <w:szCs w:val="24"/>
        </w:rPr>
        <w:t>PARTNER</w:t>
      </w:r>
      <w:r>
        <w:rPr>
          <w:sz w:val="24"/>
          <w:szCs w:val="24"/>
        </w:rPr>
        <w:t xml:space="preserve"> or the individual learner, </w:t>
      </w:r>
      <w:r>
        <w:rPr>
          <w:rFonts w:hint="default" w:ascii="Times New Roman Bold" w:hAnsi="Times New Roman Bold" w:cs="Times New Roman Bold"/>
          <w:b/>
          <w:bCs/>
          <w:sz w:val="24"/>
          <w:szCs w:val="24"/>
        </w:rPr>
        <w:t>TURNVE</w:t>
      </w:r>
      <w:r>
        <w:rPr>
          <w:sz w:val="24"/>
          <w:szCs w:val="24"/>
        </w:rPr>
        <w:t xml:space="preserve"> shall delete or anonymize personal data, provided such deletion does not interfere with the platform's historical reporting integrity.</w:t>
      </w:r>
    </w:p>
    <w:p w14:paraId="7246865B">
      <w:pPr>
        <w:pStyle w:val="14"/>
        <w:numPr>
          <w:ilvl w:val="0"/>
          <w:numId w:val="2"/>
        </w:numPr>
        <w:spacing w:before="120" w:after="200" w:line="360" w:lineRule="auto"/>
        <w:jc w:val="both"/>
      </w:pPr>
      <w:r>
        <w:rPr>
          <w:rFonts w:hint="default" w:ascii="Times New Roman Bold" w:hAnsi="Times New Roman Bold" w:cs="Times New Roman Bold"/>
          <w:b/>
          <w:bCs/>
          <w:sz w:val="24"/>
          <w:szCs w:val="24"/>
        </w:rPr>
        <w:t>Breach Notification:</w:t>
      </w:r>
      <w:r>
        <w:rPr>
          <w:sz w:val="24"/>
          <w:szCs w:val="24"/>
        </w:rPr>
        <w:t xml:space="preserve"> In the event of a suspected or actual data breach involving learner information, the Party discovering the breach shall notify the other Party within twenty-four (24) hours and take immediate steps to mitigate any potential harm to the data subjects.</w:t>
      </w:r>
    </w:p>
    <w:p w14:paraId="0EDC4FC8">
      <w:pPr>
        <w:pStyle w:val="14"/>
        <w:numPr>
          <w:ilvl w:val="0"/>
          <w:numId w:val="1"/>
        </w:numPr>
        <w:spacing w:before="120" w:after="200" w:line="360" w:lineRule="auto"/>
        <w:jc w:val="left"/>
      </w:pPr>
      <w:r>
        <w:rPr>
          <w:b/>
          <w:bCs/>
          <w:sz w:val="24"/>
          <w:szCs w:val="24"/>
        </w:rPr>
        <w:t>PERFORMANCE EVALUATION AND REPORTING</w:t>
      </w:r>
    </w:p>
    <w:p w14:paraId="46449065">
      <w:pPr>
        <w:spacing w:before="120" w:after="200" w:line="360" w:lineRule="auto"/>
        <w:jc w:val="both"/>
      </w:pPr>
      <w:r>
        <w:rPr>
          <w:rFonts w:hint="default" w:ascii="Times New Roman Bold" w:hAnsi="Times New Roman Bold" w:cs="Times New Roman Bold"/>
          <w:b/>
          <w:bCs/>
          <w:sz w:val="24"/>
          <w:szCs w:val="24"/>
        </w:rPr>
        <w:t>10.1</w:t>
      </w:r>
      <w:r>
        <w:rPr>
          <w:sz w:val="24"/>
          <w:szCs w:val="24"/>
        </w:rPr>
        <w:t xml:space="preserve"> The Parties hereby agree that the success and efficacy of the Pilot Project shall be </w:t>
      </w:r>
      <w:r>
        <w:rPr>
          <w:rFonts w:hint="default"/>
          <w:sz w:val="24"/>
          <w:szCs w:val="24"/>
          <w:lang w:val="en-US"/>
        </w:rPr>
        <w:tab/>
      </w:r>
      <w:r>
        <w:rPr>
          <w:sz w:val="24"/>
          <w:szCs w:val="24"/>
        </w:rPr>
        <w:t xml:space="preserve">measured, evaluated, and determined based on specific Key Performance Indicators </w:t>
      </w:r>
      <w:r>
        <w:rPr>
          <w:rFonts w:hint="default"/>
          <w:sz w:val="24"/>
          <w:szCs w:val="24"/>
          <w:lang w:val="en-US"/>
        </w:rPr>
        <w:tab/>
      </w:r>
      <w:r>
        <w:rPr>
          <w:sz w:val="24"/>
          <w:szCs w:val="24"/>
        </w:rPr>
        <w:t xml:space="preserve">(KPIs) and metrics designed to assess both the platform's utility and the learners' </w:t>
      </w:r>
      <w:r>
        <w:rPr>
          <w:rFonts w:hint="default"/>
          <w:sz w:val="24"/>
          <w:szCs w:val="24"/>
          <w:lang w:val="en-US"/>
        </w:rPr>
        <w:tab/>
      </w:r>
      <w:r>
        <w:rPr>
          <w:sz w:val="24"/>
          <w:szCs w:val="24"/>
        </w:rPr>
        <w:t>professional progression.</w:t>
      </w:r>
    </w:p>
    <w:p w14:paraId="12759C10">
      <w:pPr>
        <w:spacing w:before="120" w:after="200" w:line="360" w:lineRule="auto"/>
        <w:jc w:val="both"/>
      </w:pPr>
      <w:r>
        <w:rPr>
          <w:rFonts w:hint="default" w:ascii="Times New Roman Bold" w:hAnsi="Times New Roman Bold" w:cs="Times New Roman Bold"/>
          <w:b/>
          <w:bCs/>
          <w:sz w:val="24"/>
          <w:szCs w:val="24"/>
        </w:rPr>
        <w:t>10.2</w:t>
      </w:r>
      <w:r>
        <w:rPr>
          <w:sz w:val="24"/>
          <w:szCs w:val="24"/>
        </w:rPr>
        <w:t xml:space="preserve"> The Primary Metrics for evaluation shall include, but are not limited to, the following </w:t>
      </w:r>
      <w:r>
        <w:rPr>
          <w:rFonts w:hint="default"/>
          <w:sz w:val="24"/>
          <w:szCs w:val="24"/>
          <w:lang w:val="en-US"/>
        </w:rPr>
        <w:tab/>
      </w:r>
      <w:r>
        <w:rPr>
          <w:sz w:val="24"/>
          <w:szCs w:val="24"/>
        </w:rPr>
        <w:t>core categories:</w:t>
      </w:r>
    </w:p>
    <w:p w14:paraId="0483AA78">
      <w:pPr>
        <w:spacing w:before="120" w:after="200" w:line="360" w:lineRule="auto"/>
        <w:jc w:val="both"/>
      </w:pPr>
      <w:r>
        <w:rPr>
          <w:rFonts w:hint="default" w:ascii="Times New Roman Bold" w:hAnsi="Times New Roman Bold" w:cs="Times New Roman Bold"/>
          <w:b/>
          <w:bCs/>
          <w:sz w:val="24"/>
          <w:szCs w:val="24"/>
        </w:rPr>
        <w:t>10.2.1</w:t>
      </w:r>
      <w:r>
        <w:rPr>
          <w:sz w:val="24"/>
          <w:szCs w:val="24"/>
        </w:rPr>
        <w:t xml:space="preserve"> </w:t>
      </w:r>
      <w:r>
        <w:rPr>
          <w:rFonts w:hint="default" w:ascii="Times New Roman Bold" w:hAnsi="Times New Roman Bold" w:cs="Times New Roman Bold"/>
          <w:b/>
          <w:bCs/>
          <w:sz w:val="24"/>
          <w:szCs w:val="24"/>
        </w:rPr>
        <w:t>Learner Participation:</w:t>
      </w:r>
      <w:r>
        <w:rPr>
          <w:sz w:val="24"/>
          <w:szCs w:val="24"/>
        </w:rPr>
        <w:t xml:space="preserve"> This metric shall track the absolute number and the overall </w:t>
      </w:r>
      <w:r>
        <w:rPr>
          <w:rFonts w:hint="default"/>
          <w:sz w:val="24"/>
          <w:szCs w:val="24"/>
          <w:lang w:val="en-US"/>
        </w:rPr>
        <w:tab/>
      </w:r>
      <w:r>
        <w:rPr>
          <w:rFonts w:hint="default"/>
          <w:sz w:val="24"/>
          <w:szCs w:val="24"/>
          <w:lang w:val="en-US"/>
        </w:rPr>
        <w:tab/>
      </w:r>
      <w:r>
        <w:rPr>
          <w:sz w:val="24"/>
          <w:szCs w:val="24"/>
        </w:rPr>
        <w:t xml:space="preserve">percentage of learners, selected by the Partner, who successfully initiate the simulations </w:t>
      </w:r>
      <w:r>
        <w:rPr>
          <w:rFonts w:hint="default"/>
          <w:sz w:val="24"/>
          <w:szCs w:val="24"/>
          <w:lang w:val="en-US"/>
        </w:rPr>
        <w:tab/>
      </w:r>
      <w:r>
        <w:rPr>
          <w:sz w:val="24"/>
          <w:szCs w:val="24"/>
        </w:rPr>
        <w:t>provided on the Provider’s platform.</w:t>
      </w:r>
    </w:p>
    <w:p w14:paraId="28B6AE05">
      <w:pPr>
        <w:spacing w:before="120" w:after="200" w:line="360" w:lineRule="auto"/>
        <w:jc w:val="both"/>
      </w:pPr>
      <w:r>
        <w:rPr>
          <w:rFonts w:hint="default" w:ascii="Times New Roman Bold" w:hAnsi="Times New Roman Bold" w:cs="Times New Roman Bold"/>
          <w:b/>
          <w:bCs/>
          <w:sz w:val="24"/>
          <w:szCs w:val="24"/>
        </w:rPr>
        <w:t xml:space="preserve">10.2.2 Completion Rate: </w:t>
      </w:r>
      <w:r>
        <w:rPr>
          <w:sz w:val="24"/>
          <w:szCs w:val="24"/>
        </w:rPr>
        <w:t xml:space="preserve">This metric shall represent the percentage of participating learners </w:t>
      </w:r>
      <w:r>
        <w:rPr>
          <w:rFonts w:hint="default"/>
          <w:sz w:val="24"/>
          <w:szCs w:val="24"/>
          <w:lang w:val="en-US"/>
        </w:rPr>
        <w:tab/>
      </w:r>
      <w:r>
        <w:rPr>
          <w:rFonts w:hint="default"/>
          <w:sz w:val="24"/>
          <w:szCs w:val="24"/>
          <w:lang w:val="en-US"/>
        </w:rPr>
        <w:tab/>
      </w:r>
      <w:r>
        <w:rPr>
          <w:sz w:val="24"/>
          <w:szCs w:val="24"/>
        </w:rPr>
        <w:t xml:space="preserve">who successfully complete all modules and tasks within their assigned simulations </w:t>
      </w:r>
      <w:r>
        <w:rPr>
          <w:rFonts w:hint="default"/>
          <w:sz w:val="24"/>
          <w:szCs w:val="24"/>
          <w:lang w:val="en-US"/>
        </w:rPr>
        <w:tab/>
      </w:r>
      <w:r>
        <w:rPr>
          <w:rFonts w:hint="default"/>
          <w:sz w:val="24"/>
          <w:szCs w:val="24"/>
          <w:lang w:val="en-US"/>
        </w:rPr>
        <w:tab/>
      </w:r>
      <w:r>
        <w:rPr>
          <w:sz w:val="24"/>
          <w:szCs w:val="24"/>
        </w:rPr>
        <w:t>within the three-week pilot duration.</w:t>
      </w:r>
    </w:p>
    <w:p w14:paraId="2C600EBC">
      <w:pPr>
        <w:spacing w:before="120" w:after="200" w:line="360" w:lineRule="auto"/>
        <w:jc w:val="both"/>
      </w:pPr>
      <w:r>
        <w:rPr>
          <w:rFonts w:hint="default" w:ascii="Times New Roman Bold" w:hAnsi="Times New Roman Bold" w:cs="Times New Roman Bold"/>
          <w:b/>
          <w:bCs/>
          <w:sz w:val="24"/>
          <w:szCs w:val="24"/>
        </w:rPr>
        <w:t>10.2.3 Task Performance:</w:t>
      </w:r>
      <w:r>
        <w:rPr>
          <w:sz w:val="24"/>
          <w:szCs w:val="24"/>
        </w:rPr>
        <w:t xml:space="preserve"> This shall involve a qualitative and quantitative assessment of </w:t>
      </w:r>
      <w:r>
        <w:rPr>
          <w:rFonts w:hint="default"/>
          <w:sz w:val="24"/>
          <w:szCs w:val="24"/>
          <w:lang w:val="en-US"/>
        </w:rPr>
        <w:tab/>
      </w:r>
      <w:r>
        <w:rPr>
          <w:sz w:val="24"/>
          <w:szCs w:val="24"/>
        </w:rPr>
        <w:t xml:space="preserve">learner performance against defined, industry-standard assessment criteria embedded </w:t>
      </w:r>
      <w:r>
        <w:rPr>
          <w:rFonts w:hint="default"/>
          <w:sz w:val="24"/>
          <w:szCs w:val="24"/>
          <w:lang w:val="en-US"/>
        </w:rPr>
        <w:tab/>
      </w:r>
      <w:r>
        <w:rPr>
          <w:sz w:val="24"/>
          <w:szCs w:val="24"/>
        </w:rPr>
        <w:t>within the simulations.</w:t>
      </w:r>
    </w:p>
    <w:p w14:paraId="65917CE8">
      <w:pPr>
        <w:spacing w:before="120" w:after="200" w:line="360" w:lineRule="auto"/>
        <w:jc w:val="both"/>
      </w:pPr>
      <w:r>
        <w:rPr>
          <w:rFonts w:hint="default" w:ascii="Times New Roman Bold" w:hAnsi="Times New Roman Bold" w:cs="Times New Roman Bold"/>
          <w:b/>
          <w:bCs/>
          <w:sz w:val="24"/>
          <w:szCs w:val="24"/>
        </w:rPr>
        <w:t xml:space="preserve">10.2.4 Practical Outputs and Deliverables: </w:t>
      </w:r>
      <w:r>
        <w:rPr>
          <w:sz w:val="24"/>
          <w:szCs w:val="24"/>
        </w:rPr>
        <w:t xml:space="preserve">The evaluation shall account for the number </w:t>
      </w:r>
      <w:r>
        <w:rPr>
          <w:rFonts w:hint="default"/>
          <w:sz w:val="24"/>
          <w:szCs w:val="24"/>
          <w:lang w:val="en-US"/>
        </w:rPr>
        <w:tab/>
      </w:r>
      <w:r>
        <w:rPr>
          <w:sz w:val="24"/>
          <w:szCs w:val="24"/>
        </w:rPr>
        <w:t xml:space="preserve">and </w:t>
      </w:r>
      <w:r>
        <w:rPr>
          <w:rFonts w:hint="default"/>
          <w:sz w:val="24"/>
          <w:szCs w:val="24"/>
          <w:lang w:val="en-US"/>
        </w:rPr>
        <w:tab/>
      </w:r>
      <w:r>
        <w:rPr>
          <w:sz w:val="24"/>
          <w:szCs w:val="24"/>
        </w:rPr>
        <w:t xml:space="preserve">quality of completed work products produced by the learners, measuring their </w:t>
      </w:r>
      <w:r>
        <w:rPr>
          <w:rFonts w:hint="default"/>
          <w:sz w:val="24"/>
          <w:szCs w:val="24"/>
          <w:lang w:val="en-US"/>
        </w:rPr>
        <w:tab/>
      </w:r>
      <w:r>
        <w:rPr>
          <w:sz w:val="24"/>
          <w:szCs w:val="24"/>
        </w:rPr>
        <w:t>ability to create professional-grade outputs.</w:t>
      </w:r>
    </w:p>
    <w:p w14:paraId="5F86269C">
      <w:pPr>
        <w:spacing w:before="120" w:after="200" w:line="360" w:lineRule="auto"/>
        <w:jc w:val="both"/>
      </w:pPr>
      <w:r>
        <w:rPr>
          <w:rFonts w:hint="default" w:ascii="Times New Roman Bold" w:hAnsi="Times New Roman Bold" w:cs="Times New Roman Bold"/>
          <w:b/>
          <w:bCs/>
          <w:sz w:val="24"/>
          <w:szCs w:val="24"/>
        </w:rPr>
        <w:t>10.2.5 Proof of Work:</w:t>
      </w:r>
      <w:r>
        <w:rPr>
          <w:sz w:val="24"/>
          <w:szCs w:val="24"/>
        </w:rPr>
        <w:t xml:space="preserve"> This metric shall identify the number of learners who produce </w:t>
      </w:r>
      <w:r>
        <w:rPr>
          <w:rFonts w:hint="default"/>
          <w:sz w:val="24"/>
          <w:szCs w:val="24"/>
          <w:lang w:val="en-US"/>
        </w:rPr>
        <w:tab/>
      </w:r>
      <w:r>
        <w:rPr>
          <w:sz w:val="24"/>
          <w:szCs w:val="24"/>
        </w:rPr>
        <w:t xml:space="preserve">portfolio-ready outputs that can be utilized to demonstrate their practical competence to </w:t>
      </w:r>
      <w:r>
        <w:rPr>
          <w:rFonts w:hint="default"/>
          <w:sz w:val="24"/>
          <w:szCs w:val="24"/>
          <w:lang w:val="en-US"/>
        </w:rPr>
        <w:tab/>
      </w:r>
      <w:r>
        <w:rPr>
          <w:sz w:val="24"/>
          <w:szCs w:val="24"/>
        </w:rPr>
        <w:t>potential future employers.</w:t>
      </w:r>
    </w:p>
    <w:p w14:paraId="273858AE">
      <w:pPr>
        <w:spacing w:before="120" w:after="200" w:line="360" w:lineRule="auto"/>
        <w:jc w:val="both"/>
      </w:pPr>
      <w:r>
        <w:rPr>
          <w:rFonts w:hint="default" w:ascii="Times New Roman Bold" w:hAnsi="Times New Roman Bold" w:cs="Times New Roman Bold"/>
          <w:b/>
          <w:bCs/>
          <w:sz w:val="24"/>
          <w:szCs w:val="24"/>
        </w:rPr>
        <w:t>10.2.6 Skill Improvement:</w:t>
      </w:r>
      <w:r>
        <w:rPr>
          <w:sz w:val="24"/>
          <w:szCs w:val="24"/>
        </w:rPr>
        <w:t xml:space="preserve"> The Provider shall track evidence of incremental improvement in </w:t>
      </w:r>
      <w:r>
        <w:rPr>
          <w:rFonts w:hint="default"/>
          <w:sz w:val="24"/>
          <w:szCs w:val="24"/>
          <w:lang w:val="en-US"/>
        </w:rPr>
        <w:tab/>
      </w:r>
      <w:r>
        <w:rPr>
          <w:sz w:val="24"/>
          <w:szCs w:val="24"/>
        </w:rPr>
        <w:t xml:space="preserve">learner performance across relevant tasks or repeated attempts within the simulation </w:t>
      </w:r>
      <w:r>
        <w:rPr>
          <w:rFonts w:hint="default"/>
          <w:sz w:val="24"/>
          <w:szCs w:val="24"/>
          <w:lang w:val="en-US"/>
        </w:rPr>
        <w:tab/>
      </w:r>
      <w:r>
        <w:rPr>
          <w:sz w:val="24"/>
          <w:szCs w:val="24"/>
        </w:rPr>
        <w:t>environment.</w:t>
      </w:r>
    </w:p>
    <w:p w14:paraId="19B10268">
      <w:pPr>
        <w:spacing w:before="120" w:after="200" w:line="360" w:lineRule="auto"/>
        <w:jc w:val="both"/>
      </w:pPr>
      <w:r>
        <w:rPr>
          <w:rFonts w:hint="default" w:ascii="Times New Roman Bold" w:hAnsi="Times New Roman Bold" w:cs="Times New Roman Bold"/>
          <w:b/>
          <w:bCs/>
          <w:sz w:val="24"/>
          <w:szCs w:val="24"/>
        </w:rPr>
        <w:t>10.2.7 Learner Satisfaction:</w:t>
      </w:r>
      <w:r>
        <w:rPr>
          <w:sz w:val="24"/>
          <w:szCs w:val="24"/>
        </w:rPr>
        <w:t xml:space="preserve"> The Provider shall collect and analyze feedback from the </w:t>
      </w:r>
      <w:r>
        <w:rPr>
          <w:rFonts w:hint="default"/>
          <w:sz w:val="24"/>
          <w:szCs w:val="24"/>
          <w:lang w:val="en-US"/>
        </w:rPr>
        <w:tab/>
      </w:r>
      <w:r>
        <w:rPr>
          <w:sz w:val="24"/>
          <w:szCs w:val="24"/>
        </w:rPr>
        <w:t xml:space="preserve">learners regarding the perceived usefulness, ease of use, and relevance of the simulation </w:t>
      </w:r>
      <w:r>
        <w:rPr>
          <w:rFonts w:hint="default"/>
          <w:sz w:val="24"/>
          <w:szCs w:val="24"/>
          <w:lang w:val="en-US"/>
        </w:rPr>
        <w:tab/>
      </w:r>
      <w:r>
        <w:rPr>
          <w:sz w:val="24"/>
          <w:szCs w:val="24"/>
        </w:rPr>
        <w:t>experience to their career goals.</w:t>
      </w:r>
    </w:p>
    <w:p w14:paraId="4416288A">
      <w:pPr>
        <w:spacing w:before="120" w:after="200" w:line="360" w:lineRule="auto"/>
        <w:jc w:val="both"/>
      </w:pPr>
      <w:r>
        <w:rPr>
          <w:rFonts w:hint="default" w:ascii="Times New Roman Bold" w:hAnsi="Times New Roman Bold" w:cs="Times New Roman Bold"/>
          <w:b/>
          <w:bCs/>
          <w:sz w:val="24"/>
          <w:szCs w:val="24"/>
        </w:rPr>
        <w:t xml:space="preserve">10.2.8 Work Readiness: </w:t>
      </w:r>
      <w:r>
        <w:rPr>
          <w:sz w:val="24"/>
          <w:szCs w:val="24"/>
        </w:rPr>
        <w:t xml:space="preserve">This metric shall measure the change in learners’ self-reported </w:t>
      </w:r>
      <w:r>
        <w:rPr>
          <w:rFonts w:hint="default"/>
          <w:sz w:val="24"/>
          <w:szCs w:val="24"/>
          <w:lang w:val="en-US"/>
        </w:rPr>
        <w:tab/>
      </w:r>
      <w:r>
        <w:rPr>
          <w:sz w:val="24"/>
          <w:szCs w:val="24"/>
        </w:rPr>
        <w:t xml:space="preserve">confidence and their objective ability to perform specific workplace tasks as observed </w:t>
      </w:r>
      <w:r>
        <w:rPr>
          <w:rFonts w:hint="default"/>
          <w:sz w:val="24"/>
          <w:szCs w:val="24"/>
          <w:lang w:val="en-US"/>
        </w:rPr>
        <w:tab/>
      </w:r>
      <w:r>
        <w:rPr>
          <w:sz w:val="24"/>
          <w:szCs w:val="24"/>
        </w:rPr>
        <w:t>through the platform's assessment engine.</w:t>
      </w:r>
    </w:p>
    <w:p w14:paraId="646D6F1B">
      <w:pPr>
        <w:spacing w:before="120" w:after="200" w:line="360" w:lineRule="auto"/>
        <w:jc w:val="both"/>
      </w:pPr>
      <w:r>
        <w:rPr>
          <w:rFonts w:hint="default" w:ascii="Times New Roman Bold" w:hAnsi="Times New Roman Bold" w:cs="Times New Roman Bold"/>
          <w:b/>
          <w:bCs/>
          <w:sz w:val="24"/>
          <w:szCs w:val="24"/>
        </w:rPr>
        <w:t>10.3</w:t>
      </w:r>
      <w:r>
        <w:rPr>
          <w:sz w:val="24"/>
          <w:szCs w:val="24"/>
        </w:rPr>
        <w:t xml:space="preserve"> Upon the conclusion of the three-week Pilot Project, the Provider shall, within a </w:t>
      </w:r>
      <w:r>
        <w:rPr>
          <w:rFonts w:hint="default"/>
          <w:sz w:val="24"/>
          <w:szCs w:val="24"/>
          <w:lang w:val="en-US"/>
        </w:rPr>
        <w:tab/>
      </w:r>
      <w:r>
        <w:rPr>
          <w:sz w:val="24"/>
          <w:szCs w:val="24"/>
        </w:rPr>
        <w:t>reasonable time</w:t>
      </w:r>
      <w:r>
        <w:rPr>
          <w:rFonts w:hint="default"/>
          <w:sz w:val="24"/>
          <w:szCs w:val="24"/>
          <w:lang w:val="en-US"/>
        </w:rPr>
        <w:t xml:space="preserve"> </w:t>
      </w:r>
      <w:r>
        <w:rPr>
          <w:sz w:val="24"/>
          <w:szCs w:val="24"/>
        </w:rPr>
        <w:t>frame (not to exceed fourteen days), compile and deliver to the Partner</w:t>
      </w:r>
      <w:r>
        <w:rPr>
          <w:rFonts w:hint="default"/>
          <w:sz w:val="24"/>
          <w:szCs w:val="24"/>
          <w:lang w:val="en-US"/>
        </w:rPr>
        <w:t xml:space="preserve"> </w:t>
      </w:r>
      <w:r>
        <w:rPr>
          <w:rFonts w:hint="default"/>
          <w:sz w:val="24"/>
          <w:szCs w:val="24"/>
          <w:lang w:val="en-US"/>
        </w:rPr>
        <w:tab/>
      </w:r>
      <w:r>
        <w:rPr>
          <w:sz w:val="24"/>
          <w:szCs w:val="24"/>
        </w:rPr>
        <w:t>a comprehensive Pilot Results Report.</w:t>
      </w:r>
    </w:p>
    <w:p w14:paraId="60F99EEF">
      <w:pPr>
        <w:spacing w:before="120" w:after="200" w:line="360" w:lineRule="auto"/>
        <w:jc w:val="both"/>
      </w:pPr>
      <w:r>
        <w:rPr>
          <w:rFonts w:hint="default" w:ascii="Times New Roman Bold" w:hAnsi="Times New Roman Bold" w:cs="Times New Roman Bold"/>
          <w:b/>
          <w:bCs/>
          <w:sz w:val="24"/>
          <w:szCs w:val="24"/>
        </w:rPr>
        <w:t>10.4</w:t>
      </w:r>
      <w:r>
        <w:rPr>
          <w:sz w:val="24"/>
          <w:szCs w:val="24"/>
        </w:rPr>
        <w:t xml:space="preserve"> The Pilot Results Report shall contain a detailed synthesis of all metrics listed in Clause </w:t>
      </w:r>
      <w:r>
        <w:rPr>
          <w:rFonts w:hint="default"/>
          <w:sz w:val="24"/>
          <w:szCs w:val="24"/>
          <w:lang w:val="en-US"/>
        </w:rPr>
        <w:tab/>
      </w:r>
      <w:r>
        <w:rPr>
          <w:rFonts w:hint="default"/>
          <w:sz w:val="24"/>
          <w:szCs w:val="24"/>
          <w:lang w:val="en-US"/>
        </w:rPr>
        <w:tab/>
      </w:r>
      <w:r>
        <w:rPr>
          <w:sz w:val="24"/>
          <w:szCs w:val="24"/>
        </w:rPr>
        <w:t xml:space="preserve">10.2, providing the Partner with actionable insights into the skill gaps identified within </w:t>
      </w:r>
      <w:r>
        <w:rPr>
          <w:rFonts w:hint="default"/>
          <w:sz w:val="24"/>
          <w:szCs w:val="24"/>
          <w:lang w:val="en-US"/>
        </w:rPr>
        <w:tab/>
      </w:r>
      <w:r>
        <w:rPr>
          <w:rFonts w:hint="default"/>
          <w:sz w:val="24"/>
          <w:szCs w:val="24"/>
          <w:lang w:val="en-US"/>
        </w:rPr>
        <w:tab/>
      </w:r>
      <w:r>
        <w:rPr>
          <w:sz w:val="24"/>
          <w:szCs w:val="24"/>
        </w:rPr>
        <w:t>their learner cohort and recommendations for future training focus.</w:t>
      </w:r>
    </w:p>
    <w:p w14:paraId="5DDB8388">
      <w:pPr>
        <w:spacing w:before="120" w:after="200" w:line="360" w:lineRule="auto"/>
        <w:jc w:val="both"/>
      </w:pPr>
      <w:r>
        <w:rPr>
          <w:rFonts w:hint="default" w:ascii="Times New Roman Bold" w:hAnsi="Times New Roman Bold" w:cs="Times New Roman Bold"/>
          <w:b/>
          <w:bCs/>
          <w:sz w:val="24"/>
          <w:szCs w:val="24"/>
        </w:rPr>
        <w:t>10.5</w:t>
      </w:r>
      <w:r>
        <w:rPr>
          <w:sz w:val="24"/>
          <w:szCs w:val="24"/>
        </w:rPr>
        <w:t xml:space="preserve"> The Parties shall schedule a formal review meeting following the delivery of the Pilot </w:t>
      </w:r>
      <w:r>
        <w:rPr>
          <w:rFonts w:hint="default"/>
          <w:sz w:val="24"/>
          <w:szCs w:val="24"/>
          <w:lang w:val="en-US"/>
        </w:rPr>
        <w:tab/>
      </w:r>
      <w:r>
        <w:rPr>
          <w:rFonts w:hint="default"/>
          <w:sz w:val="24"/>
          <w:szCs w:val="24"/>
          <w:lang w:val="en-US"/>
        </w:rPr>
        <w:tab/>
      </w:r>
      <w:r>
        <w:rPr>
          <w:sz w:val="24"/>
          <w:szCs w:val="24"/>
        </w:rPr>
        <w:t xml:space="preserve">Results Report to discuss the findings and determine the feasibility of a long-term </w:t>
      </w:r>
      <w:r>
        <w:rPr>
          <w:rFonts w:hint="default"/>
          <w:sz w:val="24"/>
          <w:szCs w:val="24"/>
          <w:lang w:val="en-US"/>
        </w:rPr>
        <w:tab/>
      </w:r>
      <w:r>
        <w:rPr>
          <w:rFonts w:hint="default"/>
          <w:sz w:val="24"/>
          <w:szCs w:val="24"/>
          <w:lang w:val="en-US"/>
        </w:rPr>
        <w:tab/>
      </w:r>
      <w:r>
        <w:rPr>
          <w:sz w:val="24"/>
          <w:szCs w:val="24"/>
        </w:rPr>
        <w:t>commercial engagement.</w:t>
      </w:r>
    </w:p>
    <w:p w14:paraId="0BDCA496">
      <w:pPr>
        <w:pStyle w:val="14"/>
        <w:numPr>
          <w:ilvl w:val="0"/>
          <w:numId w:val="1"/>
        </w:numPr>
        <w:spacing w:before="120" w:after="200" w:line="360" w:lineRule="auto"/>
        <w:jc w:val="left"/>
      </w:pPr>
      <w:r>
        <w:rPr>
          <w:b/>
          <w:bCs/>
          <w:sz w:val="24"/>
          <w:szCs w:val="24"/>
        </w:rPr>
        <w:t>TERM, TERMINATION, AND POST-PILOT EVALUATION</w:t>
      </w:r>
    </w:p>
    <w:p w14:paraId="5F9EB2D9">
      <w:pPr>
        <w:spacing w:before="120" w:after="200" w:line="360" w:lineRule="auto"/>
        <w:jc w:val="both"/>
      </w:pPr>
      <w:r>
        <w:rPr>
          <w:rFonts w:hint="default" w:ascii="Times New Roman Bold" w:hAnsi="Times New Roman Bold" w:cs="Times New Roman Bold"/>
          <w:b/>
          <w:bCs/>
          <w:sz w:val="24"/>
          <w:szCs w:val="24"/>
        </w:rPr>
        <w:t>11.1</w:t>
      </w:r>
      <w:r>
        <w:rPr>
          <w:sz w:val="24"/>
          <w:szCs w:val="24"/>
        </w:rPr>
        <w:t xml:space="preserve"> This Memorandum of Understanding shall commence on the Effective Date and, unless </w:t>
      </w:r>
      <w:r>
        <w:rPr>
          <w:rFonts w:hint="default"/>
          <w:sz w:val="24"/>
          <w:szCs w:val="24"/>
          <w:lang w:val="en-US"/>
        </w:rPr>
        <w:tab/>
      </w:r>
      <w:r>
        <w:rPr>
          <w:rFonts w:hint="default"/>
          <w:sz w:val="24"/>
          <w:szCs w:val="24"/>
          <w:lang w:val="en-US"/>
        </w:rPr>
        <w:tab/>
      </w:r>
      <w:r>
        <w:rPr>
          <w:sz w:val="24"/>
          <w:szCs w:val="24"/>
        </w:rPr>
        <w:t xml:space="preserve">terminated earlier in accordance with the provisions herein, shall remain in force for the </w:t>
      </w:r>
      <w:r>
        <w:rPr>
          <w:rFonts w:hint="default"/>
          <w:sz w:val="24"/>
          <w:szCs w:val="24"/>
          <w:lang w:val="en-US"/>
        </w:rPr>
        <w:tab/>
      </w:r>
      <w:r>
        <w:rPr>
          <w:sz w:val="24"/>
          <w:szCs w:val="24"/>
        </w:rPr>
        <w:t>duration of the Pilot Project.</w:t>
      </w:r>
    </w:p>
    <w:p w14:paraId="19E19C6B">
      <w:pPr>
        <w:spacing w:before="120" w:after="200" w:line="360" w:lineRule="auto"/>
        <w:jc w:val="both"/>
      </w:pPr>
      <w:r>
        <w:rPr>
          <w:rFonts w:hint="default" w:ascii="Times New Roman Bold" w:hAnsi="Times New Roman Bold" w:cs="Times New Roman Bold"/>
          <w:b/>
          <w:bCs/>
          <w:sz w:val="24"/>
          <w:szCs w:val="24"/>
        </w:rPr>
        <w:t>11.2</w:t>
      </w:r>
      <w:r>
        <w:rPr>
          <w:sz w:val="24"/>
          <w:szCs w:val="24"/>
        </w:rPr>
        <w:t xml:space="preserve"> The specific operational phase of the Pilot Project is scheduled to commence on the 14th </w:t>
      </w:r>
      <w:r>
        <w:rPr>
          <w:rFonts w:hint="default"/>
          <w:sz w:val="24"/>
          <w:szCs w:val="24"/>
          <w:lang w:val="en-US"/>
        </w:rPr>
        <w:tab/>
      </w:r>
      <w:r>
        <w:rPr>
          <w:sz w:val="24"/>
          <w:szCs w:val="24"/>
        </w:rPr>
        <w:t xml:space="preserve">day of September (the 'Launch Date') and shall run for a continuous period of three (3) </w:t>
      </w:r>
      <w:r>
        <w:rPr>
          <w:rFonts w:hint="default"/>
          <w:sz w:val="24"/>
          <w:szCs w:val="24"/>
          <w:lang w:val="en-US"/>
        </w:rPr>
        <w:tab/>
      </w:r>
      <w:r>
        <w:rPr>
          <w:sz w:val="24"/>
          <w:szCs w:val="24"/>
        </w:rPr>
        <w:t>weeks</w:t>
      </w:r>
      <w:r>
        <w:rPr>
          <w:rFonts w:hint="default"/>
          <w:sz w:val="24"/>
          <w:szCs w:val="24"/>
          <w:lang w:val="en-US"/>
        </w:rPr>
        <w:t xml:space="preserve"> 14</w:t>
      </w:r>
      <w:r>
        <w:rPr>
          <w:rFonts w:hint="default"/>
          <w:sz w:val="24"/>
          <w:szCs w:val="24"/>
          <w:vertAlign w:val="superscript"/>
          <w:lang w:val="en-US"/>
        </w:rPr>
        <w:t>th</w:t>
      </w:r>
      <w:r>
        <w:rPr>
          <w:rFonts w:hint="default"/>
          <w:sz w:val="24"/>
          <w:szCs w:val="24"/>
          <w:lang w:val="en-US"/>
        </w:rPr>
        <w:t xml:space="preserve"> September to ........September, 2026</w:t>
      </w:r>
      <w:r>
        <w:rPr>
          <w:sz w:val="24"/>
          <w:szCs w:val="24"/>
        </w:rPr>
        <w:t>.</w:t>
      </w:r>
    </w:p>
    <w:p w14:paraId="1CC2E49F">
      <w:pPr>
        <w:spacing w:before="120" w:after="200" w:line="360" w:lineRule="auto"/>
        <w:jc w:val="both"/>
      </w:pPr>
      <w:r>
        <w:rPr>
          <w:rFonts w:hint="default" w:ascii="Times New Roman Bold" w:hAnsi="Times New Roman Bold" w:cs="Times New Roman Bold"/>
          <w:b/>
          <w:bCs/>
          <w:sz w:val="24"/>
          <w:szCs w:val="24"/>
        </w:rPr>
        <w:t>11.3</w:t>
      </w:r>
      <w:r>
        <w:rPr>
          <w:sz w:val="24"/>
          <w:szCs w:val="24"/>
        </w:rPr>
        <w:t xml:space="preserve"> Notwithstanding the fixed term of the Pilot, either Party may terminate this Agreement </w:t>
      </w:r>
      <w:r>
        <w:rPr>
          <w:rFonts w:hint="default"/>
          <w:sz w:val="24"/>
          <w:szCs w:val="24"/>
          <w:lang w:val="en-US"/>
        </w:rPr>
        <w:tab/>
      </w:r>
      <w:r>
        <w:rPr>
          <w:sz w:val="24"/>
          <w:szCs w:val="24"/>
        </w:rPr>
        <w:t xml:space="preserve">for convenience by providing at least seven (7) days' written notice to the other Party, </w:t>
      </w:r>
      <w:r>
        <w:rPr>
          <w:rFonts w:hint="default"/>
          <w:sz w:val="24"/>
          <w:szCs w:val="24"/>
          <w:lang w:val="en-US"/>
        </w:rPr>
        <w:tab/>
      </w:r>
      <w:r>
        <w:rPr>
          <w:sz w:val="24"/>
          <w:szCs w:val="24"/>
        </w:rPr>
        <w:t>provided that such termination does not prejudice any learner currently mid-simulation.</w:t>
      </w:r>
    </w:p>
    <w:p w14:paraId="48AD9350">
      <w:pPr>
        <w:spacing w:before="120" w:after="200" w:line="360" w:lineRule="auto"/>
        <w:jc w:val="both"/>
      </w:pPr>
      <w:r>
        <w:rPr>
          <w:rFonts w:hint="default" w:ascii="Times New Roman Bold" w:hAnsi="Times New Roman Bold" w:cs="Times New Roman Bold"/>
          <w:b/>
          <w:bCs/>
          <w:sz w:val="24"/>
          <w:szCs w:val="24"/>
        </w:rPr>
        <w:t>11.4</w:t>
      </w:r>
      <w:r>
        <w:rPr>
          <w:sz w:val="24"/>
          <w:szCs w:val="24"/>
        </w:rPr>
        <w:t xml:space="preserve"> Either Party may terminate this Agreement with immediate effect by written notice if the </w:t>
      </w:r>
      <w:r>
        <w:rPr>
          <w:rFonts w:hint="default"/>
          <w:sz w:val="24"/>
          <w:szCs w:val="24"/>
          <w:lang w:val="en-US"/>
        </w:rPr>
        <w:tab/>
      </w:r>
      <w:r>
        <w:rPr>
          <w:sz w:val="24"/>
          <w:szCs w:val="24"/>
        </w:rPr>
        <w:t xml:space="preserve">other Party commits a material breach of any term of this MOU and fails to remedy such </w:t>
      </w:r>
      <w:r>
        <w:rPr>
          <w:rFonts w:hint="default"/>
          <w:sz w:val="24"/>
          <w:szCs w:val="24"/>
          <w:lang w:val="en-US"/>
        </w:rPr>
        <w:tab/>
      </w:r>
      <w:r>
        <w:rPr>
          <w:sz w:val="24"/>
          <w:szCs w:val="24"/>
        </w:rPr>
        <w:t>breach within three (3) business days of being notified in writing to do so.</w:t>
      </w:r>
    </w:p>
    <w:p w14:paraId="491D600F">
      <w:pPr>
        <w:spacing w:before="120" w:after="200" w:line="360" w:lineRule="auto"/>
        <w:jc w:val="both"/>
      </w:pPr>
      <w:r>
        <w:rPr>
          <w:rFonts w:hint="default" w:ascii="Times New Roman Bold" w:hAnsi="Times New Roman Bold" w:cs="Times New Roman Bold"/>
          <w:b/>
          <w:bCs/>
          <w:sz w:val="24"/>
          <w:szCs w:val="24"/>
        </w:rPr>
        <w:t>11.5</w:t>
      </w:r>
      <w:r>
        <w:rPr>
          <w:sz w:val="24"/>
          <w:szCs w:val="24"/>
        </w:rPr>
        <w:t xml:space="preserve"> Material breach shall include, but is not limited to, a failure by the Provider to grant </w:t>
      </w:r>
      <w:r>
        <w:rPr>
          <w:rFonts w:hint="default"/>
          <w:sz w:val="24"/>
          <w:szCs w:val="24"/>
          <w:lang w:val="en-US"/>
        </w:rPr>
        <w:tab/>
      </w:r>
      <w:r>
        <w:rPr>
          <w:sz w:val="24"/>
          <w:szCs w:val="24"/>
        </w:rPr>
        <w:t xml:space="preserve">platform access, a failure by the Partner to mobilize learners as agreed, or any violation </w:t>
      </w:r>
      <w:r>
        <w:rPr>
          <w:rFonts w:hint="default"/>
          <w:sz w:val="24"/>
          <w:szCs w:val="24"/>
          <w:lang w:val="en-US"/>
        </w:rPr>
        <w:tab/>
      </w:r>
      <w:r>
        <w:rPr>
          <w:sz w:val="24"/>
          <w:szCs w:val="24"/>
        </w:rPr>
        <w:t>of the Intellectual Property or Confidentiality clauses of this Agreement.</w:t>
      </w:r>
    </w:p>
    <w:p w14:paraId="42177D57">
      <w:pPr>
        <w:spacing w:before="120" w:after="200" w:line="360" w:lineRule="auto"/>
        <w:jc w:val="both"/>
      </w:pPr>
      <w:r>
        <w:rPr>
          <w:rFonts w:hint="default" w:ascii="Times New Roman Bold" w:hAnsi="Times New Roman Bold" w:cs="Times New Roman Bold"/>
          <w:b/>
          <w:bCs/>
          <w:sz w:val="24"/>
          <w:szCs w:val="24"/>
        </w:rPr>
        <w:t>11.6</w:t>
      </w:r>
      <w:r>
        <w:rPr>
          <w:sz w:val="24"/>
          <w:szCs w:val="24"/>
        </w:rPr>
        <w:t xml:space="preserve"> Upon the expiration of the three-week pilot term, the Parties shall enter into a 'Post-Pilot </w:t>
      </w:r>
      <w:r>
        <w:rPr>
          <w:rFonts w:hint="default"/>
          <w:sz w:val="24"/>
          <w:szCs w:val="24"/>
          <w:lang w:val="en-US"/>
        </w:rPr>
        <w:tab/>
      </w:r>
      <w:r>
        <w:rPr>
          <w:sz w:val="24"/>
          <w:szCs w:val="24"/>
        </w:rPr>
        <w:t xml:space="preserve">Evaluation Phase' lasting no more than </w:t>
      </w:r>
      <w:r>
        <w:rPr>
          <w:b/>
          <w:bCs/>
          <w:sz w:val="24"/>
          <w:szCs w:val="24"/>
        </w:rPr>
        <w:t>thirty (30) days</w:t>
      </w:r>
      <w:r>
        <w:rPr>
          <w:sz w:val="24"/>
          <w:szCs w:val="24"/>
        </w:rPr>
        <w:t xml:space="preserve">. During this phase, the terms of </w:t>
      </w:r>
      <w:r>
        <w:rPr>
          <w:rFonts w:hint="default"/>
          <w:sz w:val="24"/>
          <w:szCs w:val="24"/>
          <w:lang w:val="en-US"/>
        </w:rPr>
        <w:tab/>
      </w:r>
      <w:r>
        <w:rPr>
          <w:sz w:val="24"/>
          <w:szCs w:val="24"/>
        </w:rPr>
        <w:t xml:space="preserve">this MOU regarding Confidentiality and Intellectual Property shall remain in full force </w:t>
      </w:r>
      <w:r>
        <w:rPr>
          <w:rFonts w:hint="default"/>
          <w:sz w:val="24"/>
          <w:szCs w:val="24"/>
          <w:lang w:val="en-US"/>
        </w:rPr>
        <w:tab/>
      </w:r>
      <w:r>
        <w:rPr>
          <w:sz w:val="24"/>
          <w:szCs w:val="24"/>
        </w:rPr>
        <w:t>and effect.</w:t>
      </w:r>
    </w:p>
    <w:p w14:paraId="0DC24288">
      <w:pPr>
        <w:spacing w:before="120" w:after="200" w:line="360" w:lineRule="auto"/>
        <w:jc w:val="both"/>
      </w:pPr>
      <w:r>
        <w:rPr>
          <w:rFonts w:hint="default" w:ascii="Times New Roman Bold" w:hAnsi="Times New Roman Bold" w:cs="Times New Roman Bold"/>
          <w:b/>
          <w:bCs/>
          <w:sz w:val="24"/>
          <w:szCs w:val="24"/>
        </w:rPr>
        <w:t>11.7</w:t>
      </w:r>
      <w:r>
        <w:rPr>
          <w:sz w:val="24"/>
          <w:szCs w:val="24"/>
        </w:rPr>
        <w:t xml:space="preserve"> The Post-Pilot Evaluation Phase is intended to allow the Parties to review the Pilot </w:t>
      </w:r>
      <w:r>
        <w:rPr>
          <w:rFonts w:hint="default"/>
          <w:sz w:val="24"/>
          <w:szCs w:val="24"/>
          <w:lang w:val="en-US"/>
        </w:rPr>
        <w:tab/>
      </w:r>
      <w:r>
        <w:rPr>
          <w:sz w:val="24"/>
          <w:szCs w:val="24"/>
        </w:rPr>
        <w:t xml:space="preserve">Results Report and negotiate the terms of a definitive Service Level Agreement (SLA) </w:t>
      </w:r>
      <w:r>
        <w:rPr>
          <w:rFonts w:hint="default"/>
          <w:sz w:val="24"/>
          <w:szCs w:val="24"/>
          <w:lang w:val="en-US"/>
        </w:rPr>
        <w:tab/>
      </w:r>
      <w:r>
        <w:rPr>
          <w:sz w:val="24"/>
          <w:szCs w:val="24"/>
        </w:rPr>
        <w:t>or Master Service Agreement (MSA) for continued collaboration.</w:t>
      </w:r>
    </w:p>
    <w:p w14:paraId="729E12C6">
      <w:pPr>
        <w:spacing w:before="120" w:after="200" w:line="360" w:lineRule="auto"/>
        <w:jc w:val="both"/>
      </w:pPr>
      <w:r>
        <w:rPr>
          <w:rFonts w:hint="default" w:ascii="Times New Roman Bold" w:hAnsi="Times New Roman Bold" w:cs="Times New Roman Bold"/>
          <w:b/>
          <w:bCs/>
          <w:sz w:val="24"/>
          <w:szCs w:val="24"/>
        </w:rPr>
        <w:t>11.8</w:t>
      </w:r>
      <w:r>
        <w:rPr>
          <w:sz w:val="24"/>
          <w:szCs w:val="24"/>
        </w:rPr>
        <w:t xml:space="preserve"> Termination or expiration of this MOU shall not affect any rights, remedies, obligations, </w:t>
      </w:r>
      <w:r>
        <w:rPr>
          <w:rFonts w:hint="default"/>
          <w:sz w:val="24"/>
          <w:szCs w:val="24"/>
          <w:lang w:val="en-US"/>
        </w:rPr>
        <w:tab/>
      </w:r>
      <w:r>
        <w:rPr>
          <w:sz w:val="24"/>
          <w:szCs w:val="24"/>
        </w:rPr>
        <w:t xml:space="preserve">or liabilities of the Parties that have accrued up to the date of termination or expiration, </w:t>
      </w:r>
      <w:r>
        <w:rPr>
          <w:rFonts w:hint="default"/>
          <w:sz w:val="24"/>
          <w:szCs w:val="24"/>
          <w:lang w:val="en-US"/>
        </w:rPr>
        <w:tab/>
      </w:r>
      <w:r>
        <w:rPr>
          <w:sz w:val="24"/>
          <w:szCs w:val="24"/>
        </w:rPr>
        <w:t xml:space="preserve">including the right to claim damages in respect of any breach of the agreement which </w:t>
      </w:r>
      <w:r>
        <w:rPr>
          <w:rFonts w:hint="default"/>
          <w:sz w:val="24"/>
          <w:szCs w:val="24"/>
          <w:lang w:val="en-US"/>
        </w:rPr>
        <w:tab/>
      </w:r>
      <w:r>
        <w:rPr>
          <w:sz w:val="24"/>
          <w:szCs w:val="24"/>
        </w:rPr>
        <w:t>existed at or before the date of termination or expiration.</w:t>
      </w:r>
    </w:p>
    <w:p w14:paraId="462DA7DC">
      <w:pPr>
        <w:pStyle w:val="14"/>
        <w:numPr>
          <w:ilvl w:val="0"/>
          <w:numId w:val="1"/>
        </w:numPr>
        <w:spacing w:before="120" w:after="200" w:line="360" w:lineRule="auto"/>
        <w:jc w:val="left"/>
      </w:pPr>
      <w:r>
        <w:rPr>
          <w:b/>
          <w:bCs/>
          <w:sz w:val="24"/>
          <w:szCs w:val="24"/>
        </w:rPr>
        <w:t>LIABILITY AND INDEMNITY</w:t>
      </w:r>
    </w:p>
    <w:p w14:paraId="2F2F297F">
      <w:pPr>
        <w:spacing w:before="120" w:after="200" w:line="360" w:lineRule="auto"/>
        <w:jc w:val="both"/>
      </w:pPr>
      <w:r>
        <w:rPr>
          <w:rFonts w:hint="default" w:ascii="Times New Roman Bold" w:hAnsi="Times New Roman Bold" w:cs="Times New Roman Bold"/>
          <w:b/>
          <w:bCs/>
          <w:sz w:val="24"/>
          <w:szCs w:val="24"/>
        </w:rPr>
        <w:t>12.1</w:t>
      </w:r>
      <w:r>
        <w:rPr>
          <w:sz w:val="24"/>
          <w:szCs w:val="24"/>
        </w:rPr>
        <w:t xml:space="preserve"> The Provider provides the platform and the simulations on an 'as-is' and 'as-available' </w:t>
      </w:r>
      <w:r>
        <w:rPr>
          <w:rFonts w:hint="default"/>
          <w:sz w:val="24"/>
          <w:szCs w:val="24"/>
          <w:lang w:val="en-US"/>
        </w:rPr>
        <w:tab/>
      </w:r>
      <w:r>
        <w:rPr>
          <w:rFonts w:hint="default"/>
          <w:sz w:val="24"/>
          <w:szCs w:val="24"/>
          <w:lang w:val="en-US"/>
        </w:rPr>
        <w:tab/>
      </w:r>
      <w:r>
        <w:rPr>
          <w:sz w:val="24"/>
          <w:szCs w:val="24"/>
        </w:rPr>
        <w:t xml:space="preserve">basis. While the Provider endeavors to ensure high-quality educational content, it makes </w:t>
      </w:r>
      <w:r>
        <w:rPr>
          <w:rFonts w:hint="default"/>
          <w:sz w:val="24"/>
          <w:szCs w:val="24"/>
          <w:lang w:val="en-US"/>
        </w:rPr>
        <w:tab/>
      </w:r>
      <w:r>
        <w:rPr>
          <w:sz w:val="24"/>
          <w:szCs w:val="24"/>
        </w:rPr>
        <w:t xml:space="preserve">no warranties, express or implied, regarding the employability of any learner following </w:t>
      </w:r>
      <w:r>
        <w:rPr>
          <w:rFonts w:hint="default"/>
          <w:sz w:val="24"/>
          <w:szCs w:val="24"/>
          <w:lang w:val="en-US"/>
        </w:rPr>
        <w:tab/>
      </w:r>
      <w:r>
        <w:rPr>
          <w:sz w:val="24"/>
          <w:szCs w:val="24"/>
        </w:rPr>
        <w:t>the completion of the simulations.</w:t>
      </w:r>
    </w:p>
    <w:p w14:paraId="253D1B37">
      <w:pPr>
        <w:spacing w:before="120" w:after="200" w:line="360" w:lineRule="auto"/>
        <w:jc w:val="both"/>
      </w:pPr>
      <w:r>
        <w:rPr>
          <w:rFonts w:hint="default" w:ascii="Times New Roman Bold" w:hAnsi="Times New Roman Bold" w:cs="Times New Roman Bold"/>
          <w:b/>
          <w:bCs/>
          <w:sz w:val="24"/>
          <w:szCs w:val="24"/>
        </w:rPr>
        <w:t>12.2</w:t>
      </w:r>
      <w:r>
        <w:rPr>
          <w:sz w:val="24"/>
          <w:szCs w:val="24"/>
        </w:rPr>
        <w:t xml:space="preserve"> Neither Party shall be liable to the other, whether in contract, tort (including negligence), </w:t>
      </w:r>
      <w:r>
        <w:rPr>
          <w:rFonts w:hint="default"/>
          <w:sz w:val="24"/>
          <w:szCs w:val="24"/>
          <w:lang w:val="en-US"/>
        </w:rPr>
        <w:tab/>
      </w:r>
      <w:r>
        <w:rPr>
          <w:sz w:val="24"/>
          <w:szCs w:val="24"/>
        </w:rPr>
        <w:t xml:space="preserve">for breach of statutory duty, or otherwise, arising under or in connection with this MOU </w:t>
      </w:r>
      <w:r>
        <w:rPr>
          <w:rFonts w:hint="default"/>
          <w:sz w:val="24"/>
          <w:szCs w:val="24"/>
          <w:lang w:val="en-US"/>
        </w:rPr>
        <w:tab/>
      </w:r>
      <w:r>
        <w:rPr>
          <w:sz w:val="24"/>
          <w:szCs w:val="24"/>
        </w:rPr>
        <w:t>for any indirect, special, or consequential loss.</w:t>
      </w:r>
    </w:p>
    <w:p w14:paraId="3DACC486">
      <w:pPr>
        <w:spacing w:before="120" w:after="200" w:line="360" w:lineRule="auto"/>
        <w:jc w:val="both"/>
      </w:pPr>
      <w:r>
        <w:rPr>
          <w:rFonts w:hint="default" w:ascii="Times New Roman Bold" w:hAnsi="Times New Roman Bold" w:cs="Times New Roman Bold"/>
          <w:b/>
          <w:bCs/>
          <w:sz w:val="24"/>
          <w:szCs w:val="24"/>
        </w:rPr>
        <w:t>12.3</w:t>
      </w:r>
      <w:r>
        <w:rPr>
          <w:sz w:val="24"/>
          <w:szCs w:val="24"/>
        </w:rPr>
        <w:t xml:space="preserve"> Specifically, the Parties agree that indirect losses shall include, but are not limited to, </w:t>
      </w:r>
      <w:r>
        <w:rPr>
          <w:rFonts w:hint="default"/>
          <w:sz w:val="24"/>
          <w:szCs w:val="24"/>
          <w:lang w:val="en-US"/>
        </w:rPr>
        <w:tab/>
      </w:r>
      <w:r>
        <w:rPr>
          <w:rFonts w:hint="default"/>
          <w:sz w:val="24"/>
          <w:szCs w:val="24"/>
          <w:lang w:val="en-US"/>
        </w:rPr>
        <w:tab/>
      </w:r>
      <w:r>
        <w:rPr>
          <w:sz w:val="24"/>
          <w:szCs w:val="24"/>
        </w:rPr>
        <w:t xml:space="preserve">loss of profits, loss of sales or business, loss of agreements or contracts, loss of </w:t>
      </w:r>
      <w:r>
        <w:rPr>
          <w:rFonts w:hint="default"/>
          <w:sz w:val="24"/>
          <w:szCs w:val="24"/>
          <w:lang w:val="en-US"/>
        </w:rPr>
        <w:tab/>
      </w:r>
      <w:r>
        <w:rPr>
          <w:sz w:val="24"/>
          <w:szCs w:val="24"/>
        </w:rPr>
        <w:t xml:space="preserve">anticipated savings, loss of use or corruption of software, data or information, and loss </w:t>
      </w:r>
      <w:r>
        <w:rPr>
          <w:rFonts w:hint="default"/>
          <w:sz w:val="24"/>
          <w:szCs w:val="24"/>
          <w:lang w:val="en-US"/>
        </w:rPr>
        <w:tab/>
      </w:r>
      <w:r>
        <w:rPr>
          <w:sz w:val="24"/>
          <w:szCs w:val="24"/>
        </w:rPr>
        <w:t>of or damage to goodwill.</w:t>
      </w:r>
    </w:p>
    <w:p w14:paraId="0BFB4960">
      <w:pPr>
        <w:spacing w:before="120" w:after="200" w:line="360" w:lineRule="auto"/>
        <w:jc w:val="both"/>
      </w:pPr>
      <w:r>
        <w:rPr>
          <w:rFonts w:hint="default" w:ascii="Times New Roman Bold" w:hAnsi="Times New Roman Bold" w:cs="Times New Roman Bold"/>
          <w:b/>
          <w:bCs/>
          <w:sz w:val="24"/>
          <w:szCs w:val="24"/>
        </w:rPr>
        <w:t>12.4</w:t>
      </w:r>
      <w:r>
        <w:rPr>
          <w:sz w:val="24"/>
          <w:szCs w:val="24"/>
        </w:rPr>
        <w:t xml:space="preserve"> The total liability of the Provider to the Partner in respect of all other losses arising </w:t>
      </w:r>
      <w:r>
        <w:rPr>
          <w:rFonts w:hint="default"/>
          <w:sz w:val="24"/>
          <w:szCs w:val="24"/>
          <w:lang w:val="en-US"/>
        </w:rPr>
        <w:tab/>
      </w:r>
      <w:r>
        <w:rPr>
          <w:sz w:val="24"/>
          <w:szCs w:val="24"/>
        </w:rPr>
        <w:t xml:space="preserve">under or in connection with this MOU, whether in contract, tort (including negligence), </w:t>
      </w:r>
      <w:r>
        <w:rPr>
          <w:rFonts w:hint="default"/>
          <w:sz w:val="24"/>
          <w:szCs w:val="24"/>
          <w:lang w:val="en-US"/>
        </w:rPr>
        <w:tab/>
      </w:r>
      <w:r>
        <w:rPr>
          <w:sz w:val="24"/>
          <w:szCs w:val="24"/>
        </w:rPr>
        <w:t xml:space="preserve">breach of statutory duty, or otherwise, shall in no circumstances exceed the total fees </w:t>
      </w:r>
      <w:r>
        <w:rPr>
          <w:rFonts w:hint="default"/>
          <w:sz w:val="24"/>
          <w:szCs w:val="24"/>
          <w:lang w:val="en-US"/>
        </w:rPr>
        <w:tab/>
      </w:r>
      <w:r>
        <w:rPr>
          <w:sz w:val="24"/>
          <w:szCs w:val="24"/>
        </w:rPr>
        <w:t>paid or payable by the Partner for the Pilot Project.</w:t>
      </w:r>
    </w:p>
    <w:p w14:paraId="48A412EA">
      <w:pPr>
        <w:spacing w:before="120" w:after="200" w:line="360" w:lineRule="auto"/>
        <w:jc w:val="both"/>
      </w:pPr>
      <w:r>
        <w:rPr>
          <w:rFonts w:hint="default" w:ascii="Times New Roman Bold" w:hAnsi="Times New Roman Bold" w:cs="Times New Roman Bold"/>
          <w:b/>
          <w:bCs/>
          <w:sz w:val="24"/>
          <w:szCs w:val="24"/>
        </w:rPr>
        <w:t>12.5</w:t>
      </w:r>
      <w:r>
        <w:rPr>
          <w:sz w:val="24"/>
          <w:szCs w:val="24"/>
        </w:rPr>
        <w:t xml:space="preserve"> The Partner agrees to indemnify, defend, and hold harmless the Provider from and </w:t>
      </w:r>
      <w:r>
        <w:rPr>
          <w:rFonts w:hint="default"/>
          <w:sz w:val="24"/>
          <w:szCs w:val="24"/>
          <w:lang w:val="en-US"/>
        </w:rPr>
        <w:tab/>
      </w:r>
      <w:r>
        <w:rPr>
          <w:rFonts w:hint="default"/>
          <w:sz w:val="24"/>
          <w:szCs w:val="24"/>
          <w:lang w:val="en-US"/>
        </w:rPr>
        <w:tab/>
      </w:r>
      <w:r>
        <w:rPr>
          <w:sz w:val="24"/>
          <w:szCs w:val="24"/>
        </w:rPr>
        <w:t xml:space="preserve">against any and all claims, liabilities, damages, losses, or expenses, including reasonable </w:t>
      </w:r>
      <w:r>
        <w:rPr>
          <w:rFonts w:hint="default"/>
          <w:sz w:val="24"/>
          <w:szCs w:val="24"/>
          <w:lang w:val="en-US"/>
        </w:rPr>
        <w:tab/>
      </w:r>
      <w:r>
        <w:rPr>
          <w:sz w:val="24"/>
          <w:szCs w:val="24"/>
        </w:rPr>
        <w:t xml:space="preserve">legal fees and costs, arising out of or in any way connected with the Partner’s negligent </w:t>
      </w:r>
      <w:r>
        <w:rPr>
          <w:rFonts w:hint="default"/>
          <w:sz w:val="24"/>
          <w:szCs w:val="24"/>
          <w:lang w:val="en-US"/>
        </w:rPr>
        <w:tab/>
      </w:r>
      <w:r>
        <w:rPr>
          <w:sz w:val="24"/>
          <w:szCs w:val="24"/>
        </w:rPr>
        <w:t>or wrongful acts or omissions in relation to its obligations under this MOU.</w:t>
      </w:r>
    </w:p>
    <w:p w14:paraId="4D18B59D">
      <w:pPr>
        <w:spacing w:before="120" w:after="200" w:line="360" w:lineRule="auto"/>
        <w:jc w:val="both"/>
      </w:pPr>
      <w:r>
        <w:rPr>
          <w:rFonts w:hint="default" w:ascii="Times New Roman Bold" w:hAnsi="Times New Roman Bold" w:cs="Times New Roman Bold"/>
          <w:b/>
          <w:bCs/>
          <w:sz w:val="24"/>
          <w:szCs w:val="24"/>
        </w:rPr>
        <w:t>12.6</w:t>
      </w:r>
      <w:r>
        <w:rPr>
          <w:sz w:val="24"/>
          <w:szCs w:val="24"/>
        </w:rPr>
        <w:t xml:space="preserve"> The Provider agrees to indemnify the Partner against any third-party claims that the </w:t>
      </w:r>
      <w:r>
        <w:rPr>
          <w:rFonts w:hint="default"/>
          <w:sz w:val="24"/>
          <w:szCs w:val="24"/>
          <w:lang w:val="en-US"/>
        </w:rPr>
        <w:tab/>
      </w:r>
      <w:r>
        <w:rPr>
          <w:sz w:val="24"/>
          <w:szCs w:val="24"/>
        </w:rPr>
        <w:t xml:space="preserve">platform or simulation content infringes the intellectual property rights of a third party, </w:t>
      </w:r>
      <w:r>
        <w:rPr>
          <w:rFonts w:hint="default"/>
          <w:sz w:val="24"/>
          <w:szCs w:val="24"/>
          <w:lang w:val="en-US"/>
        </w:rPr>
        <w:tab/>
      </w:r>
      <w:r>
        <w:rPr>
          <w:sz w:val="24"/>
          <w:szCs w:val="24"/>
        </w:rPr>
        <w:t xml:space="preserve">provided that the Partner notifies the Provider immediately of any such claim and grants </w:t>
      </w:r>
      <w:r>
        <w:rPr>
          <w:rFonts w:hint="default"/>
          <w:sz w:val="24"/>
          <w:szCs w:val="24"/>
          <w:lang w:val="en-US"/>
        </w:rPr>
        <w:tab/>
      </w:r>
      <w:r>
        <w:rPr>
          <w:sz w:val="24"/>
          <w:szCs w:val="24"/>
        </w:rPr>
        <w:t>the Provider sole control over the defense and settlement of the claim.</w:t>
      </w:r>
    </w:p>
    <w:p w14:paraId="6A9787FD">
      <w:pPr>
        <w:spacing w:before="120" w:after="200" w:line="360" w:lineRule="auto"/>
        <w:jc w:val="both"/>
      </w:pPr>
      <w:r>
        <w:rPr>
          <w:rFonts w:hint="default" w:ascii="Times New Roman Bold" w:hAnsi="Times New Roman Bold" w:cs="Times New Roman Bold"/>
          <w:b/>
          <w:bCs/>
          <w:sz w:val="24"/>
          <w:szCs w:val="24"/>
        </w:rPr>
        <w:t>12.7</w:t>
      </w:r>
      <w:r>
        <w:rPr>
          <w:sz w:val="24"/>
          <w:szCs w:val="24"/>
        </w:rPr>
        <w:t xml:space="preserve"> The Partner acknowledges that the Provider is not an employment agency and that the </w:t>
      </w:r>
      <w:r>
        <w:rPr>
          <w:rFonts w:hint="default"/>
          <w:sz w:val="24"/>
          <w:szCs w:val="24"/>
          <w:lang w:val="en-US"/>
        </w:rPr>
        <w:tab/>
      </w:r>
      <w:r>
        <w:rPr>
          <w:sz w:val="24"/>
          <w:szCs w:val="24"/>
        </w:rPr>
        <w:t xml:space="preserve">simulations are for educational and skill-demonstration purposes only. The Provider </w:t>
      </w:r>
      <w:r>
        <w:rPr>
          <w:rFonts w:hint="default"/>
          <w:sz w:val="24"/>
          <w:szCs w:val="24"/>
          <w:lang w:val="en-US"/>
        </w:rPr>
        <w:tab/>
      </w:r>
      <w:r>
        <w:rPr>
          <w:sz w:val="24"/>
          <w:szCs w:val="24"/>
        </w:rPr>
        <w:t xml:space="preserve">shall not be liable for any hiring decisions made by third parties or for the Partner’s </w:t>
      </w:r>
      <w:r>
        <w:rPr>
          <w:rFonts w:hint="default"/>
          <w:sz w:val="24"/>
          <w:szCs w:val="24"/>
          <w:lang w:val="en-US"/>
        </w:rPr>
        <w:tab/>
      </w:r>
      <w:r>
        <w:rPr>
          <w:sz w:val="24"/>
          <w:szCs w:val="24"/>
        </w:rPr>
        <w:t>internal assessment of learners.</w:t>
      </w:r>
    </w:p>
    <w:p w14:paraId="377BA70A">
      <w:pPr>
        <w:spacing w:before="120" w:after="200" w:line="360" w:lineRule="auto"/>
        <w:jc w:val="both"/>
      </w:pPr>
      <w:r>
        <w:rPr>
          <w:rFonts w:hint="default" w:ascii="Times New Roman Bold" w:hAnsi="Times New Roman Bold" w:cs="Times New Roman Bold"/>
          <w:b/>
          <w:bCs/>
          <w:sz w:val="24"/>
          <w:szCs w:val="24"/>
        </w:rPr>
        <w:t>12.8</w:t>
      </w:r>
      <w:r>
        <w:rPr>
          <w:sz w:val="24"/>
          <w:szCs w:val="24"/>
        </w:rPr>
        <w:t xml:space="preserve"> This Clause 12 shall survive the termination or expiration of this Memorandum of </w:t>
      </w:r>
      <w:r>
        <w:rPr>
          <w:rFonts w:hint="default"/>
          <w:sz w:val="24"/>
          <w:szCs w:val="24"/>
          <w:lang w:val="en-US"/>
        </w:rPr>
        <w:tab/>
      </w:r>
      <w:r>
        <w:rPr>
          <w:rFonts w:hint="default"/>
          <w:sz w:val="24"/>
          <w:szCs w:val="24"/>
          <w:lang w:val="en-US"/>
        </w:rPr>
        <w:tab/>
      </w:r>
      <w:r>
        <w:rPr>
          <w:sz w:val="24"/>
          <w:szCs w:val="24"/>
        </w:rPr>
        <w:t>Understanding.</w:t>
      </w:r>
    </w:p>
    <w:p w14:paraId="6849D2F5">
      <w:pPr>
        <w:pStyle w:val="14"/>
        <w:numPr>
          <w:ilvl w:val="0"/>
          <w:numId w:val="1"/>
        </w:numPr>
        <w:spacing w:before="120" w:after="200" w:line="360" w:lineRule="auto"/>
        <w:jc w:val="both"/>
      </w:pPr>
      <w:r>
        <w:rPr>
          <w:rFonts w:hint="default" w:ascii="Times New Roman Bold" w:hAnsi="Times New Roman Bold" w:cs="Times New Roman Bold"/>
          <w:b/>
          <w:bCs/>
          <w:sz w:val="24"/>
          <w:szCs w:val="24"/>
        </w:rPr>
        <w:t xml:space="preserve">GOVERNING LAW AND JURISDICTION: </w:t>
      </w:r>
      <w:r>
        <w:rPr>
          <w:sz w:val="24"/>
          <w:szCs w:val="24"/>
        </w:rPr>
        <w:t xml:space="preserve">This Memorandum of Understanding </w:t>
      </w:r>
      <w:r>
        <w:rPr>
          <w:rFonts w:hint="default"/>
          <w:sz w:val="24"/>
          <w:szCs w:val="24"/>
          <w:lang w:val="en-US"/>
        </w:rPr>
        <w:tab/>
      </w:r>
      <w:r>
        <w:rPr>
          <w:sz w:val="24"/>
          <w:szCs w:val="24"/>
        </w:rPr>
        <w:t xml:space="preserve">shall be governed by, interpreted, and construed in accordance with the laws of the </w:t>
      </w:r>
      <w:r>
        <w:rPr>
          <w:rFonts w:hint="default"/>
          <w:sz w:val="24"/>
          <w:szCs w:val="24"/>
          <w:lang w:val="en-US"/>
        </w:rPr>
        <w:tab/>
      </w:r>
      <w:r>
        <w:rPr>
          <w:sz w:val="24"/>
          <w:szCs w:val="24"/>
        </w:rPr>
        <w:t xml:space="preserve">Federal Republic of Nigeria. The Parties hereby submit to the exclusive jurisdiction of </w:t>
      </w:r>
      <w:r>
        <w:rPr>
          <w:rFonts w:hint="default"/>
          <w:sz w:val="24"/>
          <w:szCs w:val="24"/>
          <w:lang w:val="en-US"/>
        </w:rPr>
        <w:tab/>
      </w:r>
      <w:r>
        <w:rPr>
          <w:sz w:val="24"/>
          <w:szCs w:val="24"/>
        </w:rPr>
        <w:t xml:space="preserve">the courts of Nigeria in respect of any dispute arising from or in connection with this </w:t>
      </w:r>
      <w:r>
        <w:rPr>
          <w:rFonts w:hint="default"/>
          <w:sz w:val="24"/>
          <w:szCs w:val="24"/>
          <w:lang w:val="en-US"/>
        </w:rPr>
        <w:tab/>
      </w:r>
      <w:r>
        <w:rPr>
          <w:sz w:val="24"/>
          <w:szCs w:val="24"/>
        </w:rPr>
        <w:t xml:space="preserve">Agreement that cannot be resolved through the alternative dispute resolution </w:t>
      </w:r>
      <w:r>
        <w:rPr>
          <w:rFonts w:hint="default"/>
          <w:sz w:val="24"/>
          <w:szCs w:val="24"/>
          <w:lang w:val="en-US"/>
        </w:rPr>
        <w:tab/>
      </w:r>
      <w:r>
        <w:rPr>
          <w:sz w:val="24"/>
          <w:szCs w:val="24"/>
        </w:rPr>
        <w:t>mechanisms provided herein.</w:t>
      </w:r>
    </w:p>
    <w:p w14:paraId="59B6975C">
      <w:pPr>
        <w:pStyle w:val="14"/>
        <w:numPr>
          <w:ilvl w:val="0"/>
          <w:numId w:val="1"/>
        </w:numPr>
        <w:spacing w:before="120" w:after="200" w:line="360" w:lineRule="auto"/>
        <w:jc w:val="both"/>
      </w:pPr>
      <w:r>
        <w:rPr>
          <w:rFonts w:hint="default" w:ascii="Times New Roman Bold" w:hAnsi="Times New Roman Bold" w:cs="Times New Roman Bold"/>
          <w:b/>
          <w:bCs/>
          <w:sz w:val="24"/>
          <w:szCs w:val="24"/>
        </w:rPr>
        <w:t>AMICABLE SETTLEMENT AND MEDIATION:</w:t>
      </w:r>
      <w:r>
        <w:rPr>
          <w:sz w:val="24"/>
          <w:szCs w:val="24"/>
        </w:rPr>
        <w:t xml:space="preserve"> In the event of any dispute, </w:t>
      </w:r>
      <w:r>
        <w:rPr>
          <w:rFonts w:hint="default"/>
          <w:sz w:val="24"/>
          <w:szCs w:val="24"/>
          <w:lang w:val="en-US"/>
        </w:rPr>
        <w:tab/>
      </w:r>
      <w:r>
        <w:rPr>
          <w:rFonts w:hint="default"/>
          <w:sz w:val="24"/>
          <w:szCs w:val="24"/>
          <w:lang w:val="en-US"/>
        </w:rPr>
        <w:tab/>
      </w:r>
      <w:r>
        <w:rPr>
          <w:sz w:val="24"/>
          <w:szCs w:val="24"/>
        </w:rPr>
        <w:t xml:space="preserve">controversy, or claim arising out of or relating to this Pilot Project, its breach, </w:t>
      </w:r>
      <w:r>
        <w:rPr>
          <w:rFonts w:hint="default"/>
          <w:sz w:val="24"/>
          <w:szCs w:val="24"/>
          <w:lang w:val="en-US"/>
        </w:rPr>
        <w:tab/>
      </w:r>
      <w:r>
        <w:rPr>
          <w:sz w:val="24"/>
          <w:szCs w:val="24"/>
        </w:rPr>
        <w:t xml:space="preserve">termination, or invalidity, the Parties shall first attempt to resolve the matter through </w:t>
      </w:r>
      <w:r>
        <w:rPr>
          <w:rFonts w:hint="default"/>
          <w:sz w:val="24"/>
          <w:szCs w:val="24"/>
          <w:lang w:val="en-US"/>
        </w:rPr>
        <w:tab/>
      </w:r>
      <w:r>
        <w:rPr>
          <w:sz w:val="24"/>
          <w:szCs w:val="24"/>
        </w:rPr>
        <w:t xml:space="preserve">good-faith negotiations between their respective executive heads. If the dispute is not </w:t>
      </w:r>
      <w:r>
        <w:rPr>
          <w:rFonts w:hint="default"/>
          <w:sz w:val="24"/>
          <w:szCs w:val="24"/>
          <w:lang w:val="en-US"/>
        </w:rPr>
        <w:tab/>
      </w:r>
      <w:r>
        <w:rPr>
          <w:sz w:val="24"/>
          <w:szCs w:val="24"/>
        </w:rPr>
        <w:t xml:space="preserve">resolved within fourteen (14) days of such negotiation, the Parties agree to submit the </w:t>
      </w:r>
      <w:r>
        <w:rPr>
          <w:rFonts w:hint="default"/>
          <w:sz w:val="24"/>
          <w:szCs w:val="24"/>
          <w:lang w:val="en-US"/>
        </w:rPr>
        <w:tab/>
      </w:r>
      <w:r>
        <w:rPr>
          <w:sz w:val="24"/>
          <w:szCs w:val="24"/>
        </w:rPr>
        <w:t xml:space="preserve">matter to mediation at the Multi-Door Courthouse within the jurisdiction of the Partner’s </w:t>
      </w:r>
      <w:r>
        <w:rPr>
          <w:rFonts w:hint="default"/>
          <w:sz w:val="24"/>
          <w:szCs w:val="24"/>
          <w:lang w:val="en-US"/>
        </w:rPr>
        <w:tab/>
      </w:r>
      <w:r>
        <w:rPr>
          <w:sz w:val="24"/>
          <w:szCs w:val="24"/>
        </w:rPr>
        <w:t>primary operations. Each Party shall bear its own costs of mediation, and the</w:t>
      </w:r>
      <w:r>
        <w:rPr>
          <w:rFonts w:hint="default"/>
          <w:sz w:val="24"/>
          <w:szCs w:val="24"/>
          <w:lang w:val="en-US"/>
        </w:rPr>
        <w:t xml:space="preserve"> </w:t>
      </w:r>
      <w:r>
        <w:rPr>
          <w:rFonts w:hint="default"/>
          <w:sz w:val="24"/>
          <w:szCs w:val="24"/>
          <w:lang w:val="en-US"/>
        </w:rPr>
        <w:tab/>
      </w:r>
      <w:r>
        <w:rPr>
          <w:sz w:val="24"/>
          <w:szCs w:val="24"/>
        </w:rPr>
        <w:t>administrative costs of the mediation process shall be shared equally.</w:t>
      </w:r>
    </w:p>
    <w:p w14:paraId="0CA8CDDE">
      <w:pPr>
        <w:pStyle w:val="14"/>
        <w:numPr>
          <w:ilvl w:val="0"/>
          <w:numId w:val="1"/>
        </w:numPr>
        <w:spacing w:before="120" w:after="200" w:line="360" w:lineRule="auto"/>
        <w:jc w:val="both"/>
      </w:pPr>
      <w:r>
        <w:rPr>
          <w:rFonts w:hint="default" w:ascii="Times New Roman Bold" w:hAnsi="Times New Roman Bold" w:cs="Times New Roman Bold"/>
          <w:b/>
          <w:bCs/>
          <w:sz w:val="24"/>
          <w:szCs w:val="24"/>
        </w:rPr>
        <w:t>ARBITRATION:</w:t>
      </w:r>
      <w:r>
        <w:rPr>
          <w:sz w:val="24"/>
          <w:szCs w:val="24"/>
        </w:rPr>
        <w:t xml:space="preserve"> Should mediation fail to resolve the dispute within thirty (30) days of </w:t>
      </w:r>
      <w:r>
        <w:rPr>
          <w:rFonts w:hint="default"/>
          <w:sz w:val="24"/>
          <w:szCs w:val="24"/>
          <w:lang w:val="en-US"/>
        </w:rPr>
        <w:tab/>
      </w:r>
      <w:r>
        <w:rPr>
          <w:sz w:val="24"/>
          <w:szCs w:val="24"/>
        </w:rPr>
        <w:t xml:space="preserve">commencement, the matter shall be referred to and finally resolved by a single arbitrator </w:t>
      </w:r>
      <w:r>
        <w:rPr>
          <w:rFonts w:hint="default"/>
          <w:sz w:val="24"/>
          <w:szCs w:val="24"/>
          <w:lang w:val="en-US"/>
        </w:rPr>
        <w:tab/>
      </w:r>
      <w:r>
        <w:rPr>
          <w:sz w:val="24"/>
          <w:szCs w:val="24"/>
        </w:rPr>
        <w:t xml:space="preserve">to be appointed by the Chairman of the Chartered Institute of Arbitrators (UK) Nigeria </w:t>
      </w:r>
      <w:r>
        <w:rPr>
          <w:rFonts w:hint="default"/>
          <w:sz w:val="24"/>
          <w:szCs w:val="24"/>
          <w:lang w:val="en-US"/>
        </w:rPr>
        <w:tab/>
      </w:r>
      <w:r>
        <w:rPr>
          <w:sz w:val="24"/>
          <w:szCs w:val="24"/>
        </w:rPr>
        <w:t xml:space="preserve">Branch. The place of arbitration shall be Nigeria, and the language to be used in the </w:t>
      </w:r>
      <w:r>
        <w:rPr>
          <w:rFonts w:hint="default"/>
          <w:sz w:val="24"/>
          <w:szCs w:val="24"/>
          <w:lang w:val="en-US"/>
        </w:rPr>
        <w:tab/>
      </w:r>
      <w:r>
        <w:rPr>
          <w:sz w:val="24"/>
          <w:szCs w:val="24"/>
        </w:rPr>
        <w:t xml:space="preserve">arbitral proceedings shall be English. The arbitral award shall be final and binding upon </w:t>
      </w:r>
      <w:r>
        <w:rPr>
          <w:rFonts w:hint="default"/>
          <w:sz w:val="24"/>
          <w:szCs w:val="24"/>
          <w:lang w:val="en-US"/>
        </w:rPr>
        <w:tab/>
      </w:r>
      <w:r>
        <w:rPr>
          <w:sz w:val="24"/>
          <w:szCs w:val="24"/>
        </w:rPr>
        <w:t>both Parties.</w:t>
      </w:r>
    </w:p>
    <w:p w14:paraId="07B8AC62">
      <w:pPr>
        <w:pStyle w:val="14"/>
        <w:numPr>
          <w:ilvl w:val="0"/>
          <w:numId w:val="1"/>
        </w:numPr>
        <w:spacing w:before="120" w:after="200" w:line="360" w:lineRule="auto"/>
        <w:jc w:val="both"/>
      </w:pPr>
      <w:r>
        <w:rPr>
          <w:rFonts w:hint="default" w:ascii="Times New Roman Bold" w:hAnsi="Times New Roman Bold" w:cs="Times New Roman Bold"/>
          <w:b/>
          <w:bCs/>
          <w:sz w:val="24"/>
          <w:szCs w:val="24"/>
        </w:rPr>
        <w:t>FORCE MAJEURE:</w:t>
      </w:r>
      <w:r>
        <w:rPr>
          <w:sz w:val="24"/>
          <w:szCs w:val="24"/>
        </w:rPr>
        <w:t xml:space="preserve"> Neither Party shall be liable for any failure or delay in </w:t>
      </w:r>
      <w:r>
        <w:rPr>
          <w:rFonts w:hint="default"/>
          <w:sz w:val="24"/>
          <w:szCs w:val="24"/>
          <w:lang w:val="en-US"/>
        </w:rPr>
        <w:tab/>
      </w:r>
      <w:r>
        <w:rPr>
          <w:sz w:val="24"/>
          <w:szCs w:val="24"/>
        </w:rPr>
        <w:t>performing its</w:t>
      </w:r>
      <w:r>
        <w:rPr>
          <w:rFonts w:hint="default"/>
          <w:sz w:val="24"/>
          <w:szCs w:val="24"/>
          <w:lang w:val="en-US"/>
        </w:rPr>
        <w:t xml:space="preserve"> </w:t>
      </w:r>
      <w:r>
        <w:rPr>
          <w:sz w:val="24"/>
          <w:szCs w:val="24"/>
        </w:rPr>
        <w:t xml:space="preserve">obligations under this Memorandum of Understanding due to </w:t>
      </w:r>
      <w:r>
        <w:rPr>
          <w:rFonts w:hint="default"/>
          <w:sz w:val="24"/>
          <w:szCs w:val="24"/>
          <w:lang w:val="en-US"/>
        </w:rPr>
        <w:tab/>
      </w:r>
      <w:r>
        <w:rPr>
          <w:sz w:val="24"/>
          <w:szCs w:val="24"/>
        </w:rPr>
        <w:t xml:space="preserve">circumstances beyond its reasonable control, including but not limited to acts of God, </w:t>
      </w:r>
      <w:r>
        <w:rPr>
          <w:rFonts w:hint="default"/>
          <w:sz w:val="24"/>
          <w:szCs w:val="24"/>
          <w:lang w:val="en-US"/>
        </w:rPr>
        <w:tab/>
      </w:r>
      <w:r>
        <w:rPr>
          <w:sz w:val="24"/>
          <w:szCs w:val="24"/>
        </w:rPr>
        <w:t xml:space="preserve">war, riot, embargoes, acts of civil or military authorities, fire, floods, accidents, </w:t>
      </w:r>
      <w:r>
        <w:rPr>
          <w:rFonts w:hint="default"/>
          <w:sz w:val="24"/>
          <w:szCs w:val="24"/>
          <w:lang w:val="en-US"/>
        </w:rPr>
        <w:tab/>
      </w:r>
      <w:r>
        <w:rPr>
          <w:sz w:val="24"/>
          <w:szCs w:val="24"/>
        </w:rPr>
        <w:t xml:space="preserve">service interruptions resulting </w:t>
      </w:r>
      <w:r>
        <w:rPr>
          <w:rFonts w:hint="default"/>
          <w:sz w:val="24"/>
          <w:szCs w:val="24"/>
          <w:lang w:val="en-US"/>
        </w:rPr>
        <w:tab/>
      </w:r>
      <w:r>
        <w:rPr>
          <w:sz w:val="24"/>
          <w:szCs w:val="24"/>
        </w:rPr>
        <w:t xml:space="preserve">from software and hardware failures, or systemic internet </w:t>
      </w:r>
      <w:r>
        <w:rPr>
          <w:rFonts w:hint="default"/>
          <w:sz w:val="24"/>
          <w:szCs w:val="24"/>
          <w:lang w:val="en-US"/>
        </w:rPr>
        <w:tab/>
      </w:r>
      <w:r>
        <w:rPr>
          <w:sz w:val="24"/>
          <w:szCs w:val="24"/>
        </w:rPr>
        <w:t xml:space="preserve">outages. The Party affected by </w:t>
      </w:r>
      <w:r>
        <w:rPr>
          <w:rFonts w:hint="default"/>
          <w:sz w:val="24"/>
          <w:szCs w:val="24"/>
          <w:lang w:val="en-US"/>
        </w:rPr>
        <w:tab/>
      </w:r>
      <w:r>
        <w:rPr>
          <w:sz w:val="24"/>
          <w:szCs w:val="24"/>
        </w:rPr>
        <w:t>such an event shall notify the other Party within forty-</w:t>
      </w:r>
      <w:r>
        <w:rPr>
          <w:rFonts w:hint="default"/>
          <w:sz w:val="24"/>
          <w:szCs w:val="24"/>
          <w:lang w:val="en-US"/>
        </w:rPr>
        <w:tab/>
      </w:r>
      <w:r>
        <w:rPr>
          <w:sz w:val="24"/>
          <w:szCs w:val="24"/>
        </w:rPr>
        <w:t>eight (48) hours and shall resume performance as soon as reasonably practicable.</w:t>
      </w:r>
    </w:p>
    <w:p w14:paraId="778D77E8">
      <w:pPr>
        <w:pStyle w:val="14"/>
        <w:numPr>
          <w:ilvl w:val="0"/>
          <w:numId w:val="1"/>
        </w:numPr>
        <w:spacing w:before="120" w:after="200" w:line="360" w:lineRule="auto"/>
        <w:jc w:val="both"/>
      </w:pPr>
      <w:r>
        <w:rPr>
          <w:rFonts w:hint="default" w:ascii="Times New Roman Bold" w:hAnsi="Times New Roman Bold" w:cs="Times New Roman Bold"/>
          <w:b/>
          <w:bCs/>
          <w:sz w:val="24"/>
          <w:szCs w:val="24"/>
        </w:rPr>
        <w:t>ENTIRE AGREEMENT AND AMENDMENTS:</w:t>
      </w:r>
      <w:r>
        <w:rPr>
          <w:sz w:val="24"/>
          <w:szCs w:val="24"/>
        </w:rPr>
        <w:t xml:space="preserve"> This document constitutes the </w:t>
      </w:r>
      <w:r>
        <w:rPr>
          <w:rFonts w:hint="default"/>
          <w:sz w:val="24"/>
          <w:szCs w:val="24"/>
          <w:lang w:val="en-US"/>
        </w:rPr>
        <w:tab/>
      </w:r>
      <w:r>
        <w:rPr>
          <w:sz w:val="24"/>
          <w:szCs w:val="24"/>
        </w:rPr>
        <w:t xml:space="preserve">entire agreement between the Provider and the Partner regarding the subject matter </w:t>
      </w:r>
      <w:r>
        <w:rPr>
          <w:rFonts w:hint="default"/>
          <w:sz w:val="24"/>
          <w:szCs w:val="24"/>
          <w:lang w:val="en-US"/>
        </w:rPr>
        <w:tab/>
      </w:r>
      <w:r>
        <w:rPr>
          <w:sz w:val="24"/>
          <w:szCs w:val="24"/>
        </w:rPr>
        <w:t xml:space="preserve">hereof and supersedes all prior communications, negotiations, and agreements, whether </w:t>
      </w:r>
      <w:r>
        <w:rPr>
          <w:rFonts w:hint="default"/>
          <w:sz w:val="24"/>
          <w:szCs w:val="24"/>
          <w:lang w:val="en-US"/>
        </w:rPr>
        <w:tab/>
      </w:r>
      <w:r>
        <w:rPr>
          <w:sz w:val="24"/>
          <w:szCs w:val="24"/>
        </w:rPr>
        <w:t xml:space="preserve">oral or written. No amendment, modification, or waiver of any provision of this </w:t>
      </w:r>
      <w:r>
        <w:rPr>
          <w:rFonts w:hint="default"/>
          <w:sz w:val="24"/>
          <w:szCs w:val="24"/>
          <w:lang w:val="en-US"/>
        </w:rPr>
        <w:tab/>
      </w:r>
      <w:r>
        <w:rPr>
          <w:sz w:val="24"/>
          <w:szCs w:val="24"/>
        </w:rPr>
        <w:t xml:space="preserve">Memorandum </w:t>
      </w:r>
      <w:r>
        <w:rPr>
          <w:rFonts w:hint="default"/>
          <w:sz w:val="24"/>
          <w:szCs w:val="24"/>
          <w:lang w:val="en-US"/>
        </w:rPr>
        <w:tab/>
      </w:r>
      <w:r>
        <w:rPr>
          <w:sz w:val="24"/>
          <w:szCs w:val="24"/>
        </w:rPr>
        <w:t xml:space="preserve">of Understanding shall be effective unless it is in writing and signed by </w:t>
      </w:r>
      <w:r>
        <w:rPr>
          <w:rFonts w:hint="default"/>
          <w:sz w:val="24"/>
          <w:szCs w:val="24"/>
          <w:lang w:val="en-US"/>
        </w:rPr>
        <w:tab/>
      </w:r>
      <w:r>
        <w:rPr>
          <w:sz w:val="24"/>
          <w:szCs w:val="24"/>
        </w:rPr>
        <w:t>duly authorized representatives of both Parties.</w:t>
      </w:r>
    </w:p>
    <w:p w14:paraId="1DF2BC13">
      <w:pPr>
        <w:pStyle w:val="14"/>
        <w:numPr>
          <w:ilvl w:val="0"/>
          <w:numId w:val="1"/>
        </w:numPr>
        <w:spacing w:before="120" w:after="200" w:line="360" w:lineRule="auto"/>
        <w:jc w:val="both"/>
      </w:pPr>
      <w:r>
        <w:rPr>
          <w:rFonts w:hint="default" w:ascii="Times New Roman Bold" w:hAnsi="Times New Roman Bold" w:cs="Times New Roman Bold"/>
          <w:b/>
          <w:bCs/>
          <w:sz w:val="24"/>
          <w:szCs w:val="24"/>
        </w:rPr>
        <w:t>SEVERABILITY AND NON-WAIVER:</w:t>
      </w:r>
      <w:r>
        <w:rPr>
          <w:sz w:val="24"/>
          <w:szCs w:val="24"/>
        </w:rPr>
        <w:t xml:space="preserve"> If any provision of this Agreement is held to </w:t>
      </w:r>
      <w:r>
        <w:rPr>
          <w:rFonts w:hint="default"/>
          <w:sz w:val="24"/>
          <w:szCs w:val="24"/>
          <w:lang w:val="en-US"/>
        </w:rPr>
        <w:tab/>
      </w:r>
      <w:r>
        <w:rPr>
          <w:sz w:val="24"/>
          <w:szCs w:val="24"/>
        </w:rPr>
        <w:t xml:space="preserve">be invalid or unenforceable, the remaining provisions shall remain in full force and </w:t>
      </w:r>
      <w:r>
        <w:rPr>
          <w:rFonts w:hint="default"/>
          <w:sz w:val="24"/>
          <w:szCs w:val="24"/>
          <w:lang w:val="en-US"/>
        </w:rPr>
        <w:tab/>
      </w:r>
      <w:r>
        <w:rPr>
          <w:sz w:val="24"/>
          <w:szCs w:val="24"/>
        </w:rPr>
        <w:t xml:space="preserve">effect. The failure of either Party to enforce any right or provision of this Memorandum </w:t>
      </w:r>
      <w:r>
        <w:rPr>
          <w:rFonts w:hint="default"/>
          <w:sz w:val="24"/>
          <w:szCs w:val="24"/>
          <w:lang w:val="en-US"/>
        </w:rPr>
        <w:tab/>
      </w:r>
      <w:r>
        <w:rPr>
          <w:sz w:val="24"/>
          <w:szCs w:val="24"/>
        </w:rPr>
        <w:t>shall not be deemed a waiver of such right or provision.</w:t>
      </w:r>
    </w:p>
    <w:p w14:paraId="6C7D7382">
      <w:pPr>
        <w:pStyle w:val="14"/>
        <w:numPr>
          <w:ilvl w:val="0"/>
          <w:numId w:val="1"/>
        </w:numPr>
        <w:spacing w:before="120" w:after="200" w:line="360" w:lineRule="auto"/>
        <w:jc w:val="both"/>
      </w:pPr>
      <w:r>
        <w:rPr>
          <w:rFonts w:hint="default" w:ascii="Times New Roman Bold" w:hAnsi="Times New Roman Bold" w:cs="Times New Roman Bold"/>
          <w:b/>
          <w:bCs/>
          <w:sz w:val="24"/>
          <w:szCs w:val="24"/>
        </w:rPr>
        <w:t>NOTICES:</w:t>
      </w:r>
      <w:r>
        <w:rPr>
          <w:sz w:val="24"/>
          <w:szCs w:val="24"/>
        </w:rPr>
        <w:t xml:space="preserve"> All notices or other communications required under this Agreement shall be </w:t>
      </w:r>
      <w:r>
        <w:rPr>
          <w:rFonts w:hint="default"/>
          <w:sz w:val="24"/>
          <w:szCs w:val="24"/>
          <w:lang w:val="en-US"/>
        </w:rPr>
        <w:tab/>
      </w:r>
      <w:r>
        <w:rPr>
          <w:sz w:val="24"/>
          <w:szCs w:val="24"/>
        </w:rPr>
        <w:t xml:space="preserve">in writing and sent to the registered office addresses or official email addresses of the </w:t>
      </w:r>
      <w:r>
        <w:rPr>
          <w:rFonts w:hint="default"/>
          <w:sz w:val="24"/>
          <w:szCs w:val="24"/>
          <w:lang w:val="en-US"/>
        </w:rPr>
        <w:tab/>
      </w:r>
      <w:r>
        <w:rPr>
          <w:sz w:val="24"/>
          <w:szCs w:val="24"/>
        </w:rPr>
        <w:t xml:space="preserve">Parties. Notices sent by email shall be deemed received upon the sender receiving a </w:t>
      </w:r>
      <w:r>
        <w:rPr>
          <w:rFonts w:hint="default"/>
          <w:sz w:val="24"/>
          <w:szCs w:val="24"/>
          <w:lang w:val="en-US"/>
        </w:rPr>
        <w:tab/>
      </w:r>
      <w:r>
        <w:rPr>
          <w:sz w:val="24"/>
          <w:szCs w:val="24"/>
        </w:rPr>
        <w:t>delivery receipt or on the next business day.</w:t>
      </w:r>
      <w:r>
        <w:rPr>
          <w:rFonts w:hint="default"/>
          <w:sz w:val="24"/>
          <w:szCs w:val="24"/>
          <w:lang w:val="en-US"/>
        </w:rPr>
        <w:t xml:space="preserve"> </w:t>
      </w:r>
    </w:p>
    <w:p w14:paraId="122DF81B">
      <w:pPr>
        <w:pStyle w:val="14"/>
        <w:numPr>
          <w:ilvl w:val="0"/>
          <w:numId w:val="0"/>
        </w:numPr>
        <w:spacing w:before="120" w:after="200" w:line="360" w:lineRule="auto"/>
        <w:ind w:firstLine="500" w:firstLineChars="0"/>
        <w:jc w:val="both"/>
        <w:rPr>
          <w:rFonts w:hint="default"/>
          <w:sz w:val="24"/>
          <w:szCs w:val="24"/>
          <w:lang w:val="en-US"/>
        </w:rPr>
      </w:pPr>
      <w:r>
        <w:rPr>
          <w:rFonts w:hint="default" w:ascii="Times New Roman Bold" w:hAnsi="Times New Roman Bold" w:cs="Times New Roman Bold"/>
          <w:b/>
          <w:bCs/>
          <w:sz w:val="24"/>
          <w:szCs w:val="24"/>
          <w:lang w:val="en-US"/>
        </w:rPr>
        <w:t>IN WITNESS OF WHICH</w:t>
      </w:r>
      <w:r>
        <w:rPr>
          <w:rFonts w:hint="default"/>
          <w:sz w:val="24"/>
          <w:szCs w:val="24"/>
          <w:lang w:val="en-US"/>
        </w:rPr>
        <w:t xml:space="preserve"> The parties have executed this MOU as of the year and </w:t>
      </w:r>
      <w:r>
        <w:rPr>
          <w:rFonts w:hint="default"/>
          <w:sz w:val="24"/>
          <w:szCs w:val="24"/>
          <w:lang w:val="en-US"/>
        </w:rPr>
        <w:tab/>
      </w:r>
      <w:r>
        <w:rPr>
          <w:rFonts w:hint="default"/>
          <w:sz w:val="24"/>
          <w:szCs w:val="24"/>
          <w:lang w:val="en-US"/>
        </w:rPr>
        <w:t xml:space="preserve">date first written above. </w:t>
      </w:r>
    </w:p>
    <w:p w14:paraId="358432C8">
      <w:pPr>
        <w:pStyle w:val="14"/>
        <w:numPr>
          <w:ilvl w:val="0"/>
          <w:numId w:val="0"/>
        </w:numPr>
        <w:spacing w:before="120" w:after="200" w:line="360" w:lineRule="auto"/>
        <w:ind w:firstLine="500" w:firstLineChars="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SIGNED, SEALED AND DELIVERED </w:t>
      </w:r>
      <w:r>
        <w:rPr>
          <w:rFonts w:hint="default"/>
          <w:sz w:val="24"/>
          <w:szCs w:val="24"/>
          <w:lang w:val="en-US"/>
        </w:rPr>
        <w:t xml:space="preserve">by the within named </w:t>
      </w:r>
      <w:r>
        <w:rPr>
          <w:rFonts w:hint="default" w:ascii="Times New Roman Bold" w:hAnsi="Times New Roman Bold" w:cs="Times New Roman Bold"/>
          <w:b/>
          <w:bCs/>
          <w:sz w:val="24"/>
          <w:szCs w:val="24"/>
          <w:lang w:val="en-US"/>
        </w:rPr>
        <w:t xml:space="preserve">TURNVE: </w:t>
      </w:r>
    </w:p>
    <w:p w14:paraId="016AC2F3">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______________________</w:t>
      </w:r>
    </w:p>
    <w:p w14:paraId="2E550F72">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Esther Emejulu</w:t>
      </w:r>
    </w:p>
    <w:p w14:paraId="07CDE59E">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Director </w:t>
      </w:r>
    </w:p>
    <w:p w14:paraId="014D1AF2">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TURNVE </w:t>
      </w:r>
    </w:p>
    <w:p w14:paraId="5C9EEC3C">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p>
    <w:p w14:paraId="22393F23">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IN THE PRESENCE OF: </w:t>
      </w:r>
    </w:p>
    <w:p w14:paraId="10636795">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 xml:space="preserve">Name: </w:t>
      </w:r>
    </w:p>
    <w:p w14:paraId="0AAE11C1">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 xml:space="preserve">Occupation: </w:t>
      </w:r>
    </w:p>
    <w:p w14:paraId="078468D3">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Address:</w:t>
      </w:r>
    </w:p>
    <w:p w14:paraId="335A1B9D">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 xml:space="preserve">signature: </w:t>
      </w:r>
    </w:p>
    <w:p w14:paraId="037D50DA">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p>
    <w:p w14:paraId="6F13696D">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ascii="Times New Roman Bold" w:hAnsi="Times New Roman Bold" w:cs="Times New Roman Bold"/>
          <w:b/>
          <w:bCs/>
          <w:sz w:val="24"/>
          <w:szCs w:val="24"/>
          <w:lang w:val="en-US"/>
        </w:rPr>
        <w:t>SIGNED, SEALED AND DELIVERED</w:t>
      </w:r>
      <w:r>
        <w:rPr>
          <w:rFonts w:hint="default"/>
          <w:sz w:val="24"/>
          <w:szCs w:val="24"/>
          <w:lang w:val="en-US"/>
        </w:rPr>
        <w:t xml:space="preserve"> by the within named </w:t>
      </w:r>
      <w:r>
        <w:rPr>
          <w:rFonts w:hint="default" w:ascii="Times New Roman Bold" w:hAnsi="Times New Roman Bold" w:cs="Times New Roman Bold"/>
          <w:b/>
          <w:bCs/>
          <w:sz w:val="24"/>
          <w:szCs w:val="24"/>
          <w:lang w:val="en-US"/>
        </w:rPr>
        <w:t>ANAMBRA TECHIE</w:t>
      </w:r>
    </w:p>
    <w:p w14:paraId="077B5A2D">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_____________________</w:t>
      </w:r>
    </w:p>
    <w:p w14:paraId="2D39F993">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(name)</w:t>
      </w:r>
    </w:p>
    <w:p w14:paraId="33AEE50F">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Secretary </w:t>
      </w:r>
    </w:p>
    <w:p w14:paraId="2D311325">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0" w:firstLineChars="0"/>
        <w:jc w:val="both"/>
        <w:textAlignment w:val="auto"/>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ANAMBRA TECHIE</w:t>
      </w:r>
    </w:p>
    <w:p w14:paraId="10183BA2">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0" w:firstLineChars="0"/>
        <w:jc w:val="both"/>
        <w:textAlignment w:val="auto"/>
        <w:rPr>
          <w:rFonts w:hint="default"/>
          <w:sz w:val="24"/>
          <w:szCs w:val="24"/>
          <w:lang w:val="en-US"/>
        </w:rPr>
      </w:pPr>
    </w:p>
    <w:p w14:paraId="427FBB64">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IN THE PRESENCE OF: </w:t>
      </w:r>
    </w:p>
    <w:p w14:paraId="64912A42">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 xml:space="preserve">Name: </w:t>
      </w:r>
    </w:p>
    <w:p w14:paraId="0B85E702">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 xml:space="preserve">Occupation: </w:t>
      </w:r>
    </w:p>
    <w:p w14:paraId="04327D80">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Address:</w:t>
      </w:r>
    </w:p>
    <w:p w14:paraId="00337020">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4" w:firstLineChars="0"/>
        <w:jc w:val="both"/>
        <w:textAlignment w:val="auto"/>
        <w:rPr>
          <w:rFonts w:hint="default"/>
          <w:sz w:val="24"/>
          <w:szCs w:val="24"/>
          <w:lang w:val="en-US"/>
        </w:rPr>
      </w:pPr>
      <w:r>
        <w:rPr>
          <w:rFonts w:hint="default"/>
          <w:sz w:val="24"/>
          <w:szCs w:val="24"/>
          <w:lang w:val="en-US"/>
        </w:rPr>
        <w:t xml:space="preserve">signature: </w:t>
      </w:r>
    </w:p>
    <w:p w14:paraId="4DEE5ACC">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firstLine="500" w:firstLineChars="0"/>
        <w:jc w:val="both"/>
        <w:textAlignment w:val="auto"/>
        <w:rPr>
          <w:rFonts w:hint="default"/>
          <w:sz w:val="24"/>
          <w:szCs w:val="24"/>
          <w:lang w:val="en-US"/>
        </w:rPr>
      </w:pPr>
    </w:p>
    <w:p w14:paraId="237B8CC5">
      <w:pPr>
        <w:pStyle w:val="14"/>
        <w:numPr>
          <w:ilvl w:val="0"/>
          <w:numId w:val="0"/>
        </w:numPr>
        <w:spacing w:before="120" w:after="200" w:line="360" w:lineRule="auto"/>
        <w:jc w:val="both"/>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Krungthep">
    <w:panose1 w:val="02000400000000000000"/>
    <w:charset w:val="00"/>
    <w:family w:val="auto"/>
    <w:pitch w:val="default"/>
    <w:sig w:usb0="810000FF" w:usb1="5000204A" w:usb2="00000020" w:usb3="00000000" w:csb0="20000193" w:csb1="4D000000"/>
  </w:font>
  <w:font w:name="Marker Felt Thin">
    <w:panose1 w:val="02000400000000000000"/>
    <w:charset w:val="00"/>
    <w:family w:val="auto"/>
    <w:pitch w:val="default"/>
    <w:sig w:usb0="80000063" w:usb1="00000040" w:usb2="00000000" w:usb3="00000000" w:csb0="20000111"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720" w:hanging="360"/>
      </w:pPr>
      <w:rPr>
        <w:rFonts w:hint="default" w:ascii="Times New Roman Bold" w:hAnsi="Times New Roman Bold" w:cs="Times New Roman Bold"/>
        <w:b/>
        <w:bCs/>
      </w:rPr>
    </w:lvl>
    <w:lvl w:ilvl="1" w:tentative="0">
      <w:start w:val="1"/>
      <w:numFmt w:val="decimal"/>
      <w:lvlText w:val="%1.%2."/>
      <w:lvlJc w:val="left"/>
      <w:pPr>
        <w:ind w:left="1080" w:hanging="360"/>
      </w:pPr>
    </w:lvl>
    <w:lvl w:ilvl="2" w:tentative="0">
      <w:start w:val="1"/>
      <w:numFmt w:val="decimal"/>
      <w:lvlText w:val="%1.%2.%3."/>
      <w:lvlJc w:val="left"/>
      <w:pPr>
        <w:ind w:left="1440" w:hanging="360"/>
      </w:pPr>
    </w:lvl>
  </w:abstractNum>
  <w:abstractNum w:abstractNumId="1">
    <w:nsid w:val="00000001"/>
    <w:multiLevelType w:val="singleLevel"/>
    <w:tmpl w:val="00000001"/>
    <w:lvl w:ilvl="0" w:tentative="0">
      <w:start w:val="1"/>
      <w:numFmt w:val="decimal"/>
      <w:lvlText w:val="%1.0"/>
      <w:lvlJc w:val="left"/>
      <w:pPr>
        <w:spacing w:before="200"/>
      </w:pPr>
      <w:rPr>
        <w:rFonts w:hint="default" w:ascii="Times New Roman Bold" w:hAnsi="Times New Roman Bold" w:cs="Times New Roman Bold"/>
        <w:b/>
        <w:bCs/>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1FEC5D8A"/>
    <w:rsid w:val="2DABE130"/>
    <w:rsid w:val="3BFCE9AC"/>
    <w:rsid w:val="3FDB60E4"/>
    <w:rsid w:val="4BBC2EEB"/>
    <w:rsid w:val="4DFFFB06"/>
    <w:rsid w:val="5F6F187F"/>
    <w:rsid w:val="5FC5DEDC"/>
    <w:rsid w:val="6BCF12AE"/>
    <w:rsid w:val="6DDDCD43"/>
    <w:rsid w:val="77CF0309"/>
    <w:rsid w:val="77FF60DB"/>
    <w:rsid w:val="7BFEE4D1"/>
    <w:rsid w:val="7E5DFA18"/>
    <w:rsid w:val="7EAF80C2"/>
    <w:rsid w:val="7FBF80E9"/>
    <w:rsid w:val="9E774AEF"/>
    <w:rsid w:val="ABEFB531"/>
    <w:rsid w:val="B3FFF6CB"/>
    <w:rsid w:val="B6BE8A60"/>
    <w:rsid w:val="BF779360"/>
    <w:rsid w:val="D4FFF58C"/>
    <w:rsid w:val="DA3E6506"/>
    <w:rsid w:val="DFFF1CBC"/>
    <w:rsid w:val="ED3F169E"/>
    <w:rsid w:val="F5B7E02E"/>
    <w:rsid w:val="F76B3C5F"/>
    <w:rsid w:val="FB9ECAAB"/>
    <w:rsid w:val="FBFE7FDD"/>
    <w:rsid w:val="FEEDB79A"/>
    <w:rsid w:val="FFD517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b/>
      <w:bCs/>
      <w:caps/>
      <w:sz w:val="28"/>
      <w:szCs w:val="28"/>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qFormat/>
    <w:uiPriority w:val="0"/>
  </w:style>
  <w:style w:type="table" w:default="1" w:styleId="9">
    <w:name w:val="Normal Table"/>
    <w:uiPriority w:val="0"/>
    <w:tblPr>
      <w:tblCellMar>
        <w:top w:w="0" w:type="dxa"/>
        <w:left w:w="108" w:type="dxa"/>
        <w:bottom w:w="0" w:type="dxa"/>
        <w:right w:w="108" w:type="dxa"/>
      </w:tblCellMar>
    </w:tblPr>
  </w:style>
  <w:style w:type="character" w:styleId="10">
    <w:name w:val="footnote reference"/>
    <w:qFormat/>
    <w:uiPriority w:val="99"/>
    <w:rPr>
      <w:vertAlign w:val="superscript"/>
    </w:rPr>
  </w:style>
  <w:style w:type="paragraph" w:styleId="11">
    <w:name w:val="footnote text"/>
    <w:link w:val="15"/>
    <w:qFormat/>
    <w:uiPriority w:val="99"/>
    <w:pPr>
      <w:spacing w:after="0" w:line="240" w:lineRule="auto"/>
    </w:pPr>
    <w:rPr>
      <w:rFonts w:ascii="Times New Roman" w:hAnsi="Times New Roman" w:eastAsia="Times New Roman" w:cs="Times New Roman"/>
      <w:sz w:val="20"/>
      <w:szCs w:val="20"/>
    </w:rPr>
  </w:style>
  <w:style w:type="character" w:styleId="12">
    <w:name w:val="Hyperlink"/>
    <w:qFormat/>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List Paragraph"/>
    <w:qFormat/>
    <w:uiPriority w:val="0"/>
    <w:rPr>
      <w:rFonts w:ascii="Times New Roman" w:hAnsi="Times New Roman" w:eastAsia="Times New Roman" w:cs="Times New Roman"/>
      <w:sz w:val="24"/>
      <w:szCs w:val="24"/>
    </w:rPr>
  </w:style>
  <w:style w:type="character" w:customStyle="1" w:styleId="15">
    <w:name w:val="Footnote Text Char"/>
    <w:link w:val="11"/>
    <w:qFormat/>
    <w:uiPriority w:val="99"/>
    <w:rPr>
      <w:sz w:val="20"/>
      <w:szCs w:val="20"/>
    </w:rPr>
  </w:style>
  <w:style w:type="paragraph" w:customStyle="1" w:styleId="16">
    <w:name w:val="Bold Style"/>
    <w:qFormat/>
    <w:uiPriority w:val="0"/>
    <w:rPr>
      <w:rFonts w:ascii="Times New Roman" w:hAnsi="Times New Roman" w:eastAsia="Times New Roman" w:cs="Times New Roman"/>
      <w:b/>
      <w:bCs/>
      <w:sz w:val="24"/>
      <w:szCs w:val="24"/>
    </w:rPr>
  </w:style>
  <w:style w:type="paragraph" w:customStyle="1" w:styleId="17">
    <w:name w:val="Signature Block"/>
    <w:qFormat/>
    <w:uiPriority w:val="0"/>
    <w:pPr>
      <w:spacing w:before="400" w:after="100"/>
    </w:pPr>
    <w:rPr>
      <w:rFonts w:ascii="Times New Roman" w:hAnsi="Times New Roman" w:eastAsia="Times New Roman" w:cs="Times New Roman"/>
      <w:b/>
      <w:bCs/>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4757</Words>
  <Characters>27857</Characters>
  <Paragraphs>188</Paragraphs>
  <TotalTime>16</TotalTime>
  <ScaleCrop>false</ScaleCrop>
  <LinksUpToDate>false</LinksUpToDate>
  <CharactersWithSpaces>32666</CharactersWithSpaces>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2026-09-01T10:53:00Z</dcterms:created>
  <dc:creator>Un-named</dc:creator>
  <cp:lastModifiedBy>Wondikom Marvel</cp:lastModifiedBy>
  <dcterms:modified xsi:type="dcterms:W3CDTF">2026-09-03T18:18:42Z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355CDCC041FAF4BE56AE966A9BD574C4_42</vt:lpwstr>
  </property>
</Properties>
</file>