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Carbon Food Delivery</w:t>
      </w:r>
    </w:p>
    <w:p w14:paraId="0000000A">
      <w:pPr>
        <w:pStyle w:val="Title"/>
        <w:spacing w:line="240" w:lineRule="auto"/>
        <w:rPr>
          <w:rFonts w:ascii="Helvetica Neue" w:cs="Helvetica Neue" w:eastAsia="Helvetica Neue" w:hAnsi="Helvetica Neue"/>
          <w:sz w:val="72"/>
          <w:szCs w:val="72"/>
        </w:rPr>
      </w:pPr>
      <w:r>
        <w:t>Unified Vertical-Slice 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t>STATUS</w:t>
              <w:br/>
              <w:t>APPROVED BASELINE</w:t>
            </w:r>
          </w:p>
        </w:tc>
        <w:tc>
          <w:tcPr/>
          <w:p w14:paraId="00000017">
            <w:pPr>
              <w:rPr>
                <w:rFonts w:ascii="Helvetica Neue" w:cs="Helvetica Neue" w:eastAsia="Helvetica Neue" w:hAnsi="Helvetica Neue"/>
              </w:rPr>
            </w:pPr>
            <w:r>
              <w:rPr>
                <w:rtl w:val="0"/>
              </w:rPr>
            </w:r>
          </w:p>
        </w:tc>
        <w:tc>
          <w:tcPr/>
          <w:p>
            <w:r>
              <w:t>OWNER</w:t>
              <w:br/>
              <w:t>Carbon Food Delivery engineering</w:t>
            </w:r>
          </w:p>
        </w:tc>
        <w:tc>
          <w:tcPr/>
          <w:p w14:paraId="0000001A">
            <w:pPr>
              <w:rPr>
                <w:rFonts w:ascii="Helvetica Neue" w:cs="Helvetica Neue" w:eastAsia="Helvetica Neue" w:hAnsi="Helvetica Neue"/>
              </w:rPr>
            </w:pPr>
            <w:r>
              <w:rPr>
                <w:rtl w:val="0"/>
              </w:rPr>
            </w:r>
          </w:p>
        </w:tc>
        <w:tc>
          <w:tcPr/>
          <w:p>
            <w:r>
              <w:t>LAST UPDATED</w:t>
              <w:br/>
              <w:t>2026-08-22</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Repository engineering guidance</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Product, API, frontend, platform, and operations maintainers</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docs/implementation-backlog.md; docs/frontend-backend-audit.md; docs/architecture/production-plan.md</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One complete, evidence-backed vertical slice across the monorepo</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Carbon Food Delivery is a Cloudflare-native weekly grocery subscription and delivery system. This design aligns customer, administrator, and delivery workflows behind one vertical-slice implementation truth: every outcome crosses the shared contract, Worker boundary, application use case, domain rule, repository, UI, authorization, tests, and release evidence.</w:t>
      </w:r>
    </w:p>
    <w:p w14:paraId="00000028">
      <w:pPr>
        <w:spacing w:after="110" w:line="300" w:lineRule="auto"/>
        <w:jc w:val="both"/>
        <w:rPr>
          <w:rFonts w:ascii="Helvetica Neue" w:cs="Helvetica Neue" w:eastAsia="Helvetica Neue" w:hAnsi="Helvetica Neue"/>
        </w:rPr>
      </w:pPr>
      <w:r>
        <w:t>The design supports the current monorepo and its accepted production baseline: Next.js Web Worker, Hono API Worker, D1, R2, Queues, Jobs Worker, Workflow Worker, Better Auth, provider-neutral billing, and permission-scoped administration. It does not claim that every product surface is complete; missing contracts remain AUD findings until a complete VS slice is selected.</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Deliver one user/operator outcome end to end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Build broad layer-only batches without a complete journey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Preserve server-owned truth, authorization, and idempotency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Trust browser prices, roles, totals, availability, or statuses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Make failures, retries, and operations diagnosable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Treat logs, metrics, queues, and staging evidence as optional polish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Keep changes reviewable, deployable, and reversible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Use destructive migrations or production changes without a rollback path</w:t>
            </w:r>
          </w:p>
        </w:tc>
      </w:tr>
    </w:tbl>
    <w:p w14:paraId="00000035">
      <w:pPr>
        <w:pStyle w:val="Heading1"/>
        <w:spacing w:before="0" w:line="216" w:lineRule="auto"/>
        <w:rPr>
          <w:rFonts w:ascii="Helvetica Neue" w:cs="Helvetica Neue" w:eastAsia="Helvetica Neue" w:hAnsi="Helvetica Neue"/>
          <w:color w:val="000000"/>
        </w:rPr>
      </w:pPr>
      <w:r>
        <w:t>The governing unit is one independently reviewable, testable, deployable, and reversible user or operator outcome.</w:t>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The repository has strong domain, API, D1, authentication, billing, operations, delivery, and frontend foundations. The principal risk is drift between layers: a UI can appear complete while a server read model, authorization rule, idempotency boundary, staging proof, or operational signal is absent. The AUD-* audit and VS-* queue address that risk.</w:t>
      </w:r>
    </w:p>
    <w:p w14:paraId="00000038">
      <w:pPr>
        <w:spacing w:after="110" w:line="300" w:lineRule="auto"/>
        <w:jc w:val="both"/>
        <w:rPr>
          <w:rFonts w:ascii="Helvetica Neue" w:cs="Helvetica Neue" w:eastAsia="Helvetica Neue" w:hAnsi="Helvetica Neue"/>
          <w:color w:val="000000"/>
        </w:rPr>
      </w:pPr>
      <w:r>
        <w:t>Server-owned truth wins at every boundary. The browser requests intent, the API validates and authorizes it, the application coordinates the use case, the domain enforces invariants, D1 persists durable truth, and asynchronous work is replayable and observable.</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t>The runtime topology is Browser/PWA -&gt; Next.js Web Worker -&gt; Hono API Worker -&gt; D1, R2, Cache API/KV, Queues, and provider adapters. Cron triggers invoke the Workflow Worker for durable weekly orchestration; Queues invoke the Jobs Worker for retryable processing. Service bindings keep Worker-to-Worker calls private.</w:t>
      </w:r>
    </w:p>
    <w:p w14:paraId="0000003B">
      <w:pPr>
        <w:rPr>
          <w:rFonts w:ascii="Helvetica Neue" w:cs="Helvetica Neue" w:eastAsia="Helvetica Neue" w:hAnsi="Helvetica Neue"/>
        </w:rPr>
      </w:pPr>
      <w:r>
        <w:t>Slice flow: journey -&gt; route -&gt; contract -&gt; handler -&gt; application -&gt; domain -&gt; repository/migration -&gt; outbox/queue/workflow -&gt; UI states -&gt; focused tests -&gt; local fixture -&gt; staging smoke -&gt; release record.</w:t>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Runtime topology and vertical-slice evidence flow.</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t>The following components are stable boundaries; a slice may touch only the boundaries required by its outcome.</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Web Worker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Routes, server reads, UI states, API proxy, and customer/admin/delivery interfaces.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OpenNext assets and cache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Render explicit unavailable/forbidden states; do not invent business data.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API Worker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Authentication, authorization, contracts, application commands/queries, and short D1 transactions.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D1 and service bindings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Return correlation-aware errors; reject invalid or unauthorized work.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Domain/Application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Pure invariants and use-case orchestration across commerce, billing, procurement, fulfillment, and delivery.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Repository/provider interfaces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Fail deterministically; keep framework and provider concerns outside domain rules.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D1/Outbox/Queues/Workflows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Durable truth, snapshots, audit, retryable jobs, and scheduled weekly operations.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D1, Queue, Workflow state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Retry idempotently; expose terminal failures and dead letters.</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Observability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Correlation, structured logs, metrics, traces, alerts, and release evidence.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Telemetry backends and runbooks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Retain enough safe context to diagnose degraded mode and escalate.</w:t>
            </w:r>
          </w:p>
        </w:tc>
      </w:tr>
    </w:tbl>
    <w:p w14:paraId="00000058">
      <w:pPr>
        <w:pStyle w:val="Heading1"/>
        <w:spacing w:before="0" w:line="120" w:lineRule="auto"/>
        <w:rPr>
          <w:rFonts w:ascii="Helvetica Neue" w:cs="Helvetica Neue" w:eastAsia="Helvetica Neue" w:hAnsi="Helvetica Neue"/>
          <w:color w:val="000000"/>
        </w:rPr>
      </w:pPr>
      <w:r/>
    </w:p>
    <w:p w14:paraId="00000059">
      <w:pPr>
        <w:pStyle w:val="Heading1"/>
        <w:spacing w:before="0" w:line="120" w:lineRule="auto"/>
        <w:rPr>
          <w:rFonts w:ascii="Helvetica Neue" w:cs="Helvetica Neue" w:eastAsia="Helvetica Neue" w:hAnsi="Helvetica Neue"/>
          <w:color w:val="000000"/>
        </w:rPr>
      </w:p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 request, form action, webhook, queue message, or workflow step enters through a versioned contract and receives a correlation ID.</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boundary validates input and output, resolves the active session, checks server-side permissions, and normalizes identifiers and dates.</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use case loads server-owned catalog, plan, cycle, subscription, configuration, ownership, and idempotency state through repositories.</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application invokes pure domain rules and produces a command result, projection query result, durable event, or explicit failure.</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D1 writes the durable state, snapshots, audit event, or outbox record before external side effects begin. Transactions stay short.</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Provider calls, notifications, projections, exports, and retries run through adapters, Queues, Jobs, or Workflows with bounded budgets and replay rules.</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system returns a typed response or stable error envelope and emits structured logs, metrics, traces, retry state, and audit evidence.</w:t>
      </w:r>
    </w:p>
    <w:p w14:paraId="00000062">
      <w:pPr>
        <w:pStyle w:val="Heading1"/>
        <w:spacing w:before="0" w:line="168" w:lineRule="auto"/>
        <w:rPr>
          <w:rFonts w:ascii="Helvetica Neue" w:cs="Helvetica Neue" w:eastAsia="Helvetica Neue" w:hAnsi="Helvetica Neue"/>
          <w:color w:val="000000"/>
        </w:rPr>
      </w:pPr>
      <w:r>
        <w:t>A missing downstream capability is reported as a contract gap, not replaced with client-side business logic.</w:t>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t>Every HTTP request and asynchronous message uses a versioned, Zod-validated contract. JSON fields are camelCase at the API boundary; D1 columns remain snake_case.</w:t>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correlationId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UUID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Propagated across request, job, webhook, and workflow logs.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idempotencyKey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For writes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Client/request identity for safe replay and conflict detection.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customerId/role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Scoped IDs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As applicable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Resolved by the server; never trusted from client claims.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version/snapshot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UUID or integer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As applicable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Pins configuration, pricing, order, and lifecycle decisions.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money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PHP centavos integer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For commerce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Validated through the domain Money value object.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status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Versioned enum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As applicable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Transitioned by domain/application rules, not arbitrary UI input.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evidence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Logs/tests/smoke links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For completion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Records what was observed locally and in staging.</w:t>
            </w:r>
          </w:p>
        </w:tc>
      </w:tr>
    </w:tbl>
    <w:p w14:paraId="00000086">
      <w:pPr>
        <w:spacing w:after="0" w:line="192" w:lineRule="auto"/>
        <w:rPr>
          <w:rFonts w:ascii="Helvetica Neue" w:cs="Helvetica Neue" w:eastAsia="Helvetica Neue" w:hAnsi="Helvetica Neue"/>
          <w:sz w:val="16"/>
          <w:szCs w:val="16"/>
        </w:rPr>
      </w:pPr>
      <w:r>
        <w:t>Core invariants include server-owned prices and totals, scoped ownership, immutable order snapshots after lock, explicit lifecycle transitions, PHP centavo money, and idempotent retriable writes.</w:t>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t>Contract guarantees are reviewed as part of the slice acceptance checks, not deferred to frontend or backend-only work.</w:t>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Validation and authorization complete before a command can mutate durable state.</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Every retriable write has a stable idempotency key and a deterministic replay or conflict result.</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Orders, payment attempts, webhooks, role changes, dispatch changes, and snapshots retain identifiers and versions for audit and replay.</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D1 is source of truth; caches and projections are disposable/read models and never decide money, ownership, authorization, or availability.</w:t>
      </w:r>
    </w:p>
    <w:p w14:paraId="0000008D">
      <w:pPr>
        <w:spacing w:after="110" w:line="300" w:lineRule="auto"/>
        <w:rPr>
          <w:rFonts w:ascii="Helvetica Neue" w:cs="Helvetica Neue" w:eastAsia="Helvetica Neue" w:hAnsi="Helvetica Neue"/>
        </w:rPr>
      </w:pPr>
      <w:r>
        <w:t xml:space="preserve">The versioned schema or interface definition is published at </w:t>
      </w:r>
    </w:p>
    <w:p w14:paraId="0000008E">
      <w:pPr>
        <w:spacing w:after="110" w:line="300" w:lineRule="auto"/>
        <w:rPr>
          <w:rFonts w:ascii="Helvetica Neue" w:cs="Helvetica Neue" w:eastAsia="Helvetica Neue" w:hAnsi="Helvetica Neue"/>
        </w:rPr>
      </w:pPr>
      <w:r>
        <w:t>docs/openapi.json and the owning contract package; update it with each contract release.</w:t>
      </w:r>
    </w:p>
    <w:p w14:paraId="0000008F">
      <w:pPr>
        <w:pStyle w:val="Heading1"/>
        <w:spacing w:before="0" w:line="120" w:lineRule="auto"/>
        <w:rPr>
          <w:rFonts w:ascii="Helvetica Neue" w:cs="Helvetica Neue" w:eastAsia="Helvetica Neue" w:hAnsi="Helvetica Neue"/>
          <w:color w:val="000000"/>
        </w:rPr>
      </w:pPr>
      <w:r>
        <w:t>Contract compatibility is explicit: additive changes are preferred; breaking changes require versioning, migration, and a rollback plan.</w:t>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t>Retries are safe only when durable identity, ownership, and side-effect boundaries are explicit.</w:t>
      </w:r>
    </w:p>
    <w:p w14:paraId="00000092">
      <w:pPr>
        <w:spacing w:after="110" w:line="300" w:lineRule="auto"/>
        <w:jc w:val="both"/>
        <w:rPr>
          <w:rFonts w:ascii="Helvetica Neue" w:cs="Helvetica Neue" w:eastAsia="Helvetica Neue" w:hAnsi="Helvetica Neue"/>
        </w:rPr>
      </w:pPr>
      <w:r>
        <w:t>Commands use idempotency keys and unique constraints. Webhooks are signed and deduplicated. Queue and workflow work is retryable, while terminal failures become visible dead-letter or exception state. Client-facing reads may tolerate bounded staleness only when the screen labels it and the authoritative command path rechecks current state.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Duplicate/replayed input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Return the original result or a typed conflict; perform one durable side effect.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Idempotency keys and unique constraints make replay deterministic.</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Required write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Return a correlation-aware error; no unrecorded external side effect.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Durable state/outbox ordering preserves recovery and auditability.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Timeout/partial downstream failure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Retry within a bounded budget; terminal failures are visible.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Queues and workflows isolate slow work from request latency.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Configuration changes mid-execution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Use the version loaded for the command or snapshot.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Versioned decisions prevent inconsistent pricing, fees, and lifecycle outcomes.</w:t>
            </w:r>
          </w:p>
        </w:tc>
      </w:tr>
    </w:tbl>
    <w:p w14:paraId="000000A2">
      <w:pPr>
        <w:pStyle w:val="Heading1"/>
        <w:spacing w:before="0" w:line="269" w:lineRule="auto"/>
        <w:rPr>
          <w:rFonts w:ascii="Helvetica Neue" w:cs="Helvetica Neue" w:eastAsia="Helvetica Neue" w:hAnsi="Helvetica Neue"/>
          <w:color w:val="000000"/>
        </w:rPr>
      </w:pPr>
      <w:r>
        <w:t>Replay must never duplicate a charge, order, refund, role change, dispatch assignment, or customer notification.</w:t>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t>Security is a slice acceptance criterion, not a post-release review.</w:t>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Better Auth resolves persistent sessions; API routes enforce customer ownership, delivery assignment, and permission-scoped administration.</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Minimize logs and payloads. Never log credentials, cookies, payment data, tokens, or unnecessary personal data.</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Secrets live in Workers Secrets. Local staging credentials remain outside Git and production access requires explicit authorization.</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Administrative, replay, migration, export, and debugging tools default to fail-closed, audited, scoped, and rate-limited behavior.</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Retention, export, deletion eligibility, consent, media retention, and audit history follow the domain and privacy runbooks.</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t>Cross-cutting controls include secure cookies, CSP, CSRF/origin checks, strict CORS, WAF/rate limits, signed webhooks, and media authorization.</w:t>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t>The security review must include tenant boundaries, replay abuse, object access, error disclosure, secret handling, and audit coverage.</w:t>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Success/completion rate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Define per-slice target and alert threshold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Owning slice team</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Latency/processing time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Measure p50/p95/p99 and queue/D1 duration</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Owning slice team</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Fallback/retry/error rate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Alert on abnormal retries, 5xx, and dead letters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Owning runtime team</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Configuration/deployment drift</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Block promotion on binding or migration mismatch</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Release owner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Recovery/replay/integrity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Run synthetic or sampled validation on a stated cadence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Operations owner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Rollout constraint: dry-run or fixture validation, staging smoke, observability, rollback target, and explicit promotion evidence.</w:t>
            </w:r>
          </w:p>
        </w:tc>
      </w:tr>
    </w:tbl>
    <w:p w14:paraId="000000C9">
      <w:pPr>
        <w:pStyle w:val="Heading1"/>
        <w:spacing w:before="0" w:lineRule="auto"/>
        <w:rPr>
          <w:rFonts w:ascii="Helvetica Neue" w:cs="Helvetica Neue" w:eastAsia="Helvetica Neue" w:hAnsi="Helvetica Neue"/>
          <w:color w:val="000000"/>
        </w:rPr>
      </w:pPr>
      <w:r>
        <w:t>Launch requires focused tests, pnpm check, relevant browser/accessibility/visual checks, a production build, deterministic local fixtures, staging smoke evidence, observability, and a rollback target.</w:t>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p>
    <w:p w14:paraId="000000CC">
      <w:pPr>
        <w:spacing w:after="0" w:line="192" w:lineRule="auto"/>
        <w:rPr>
          <w:rFonts w:ascii="Helvetica Neue" w:cs="Helvetica Neue" w:eastAsia="Helvetica Neue" w:hAnsi="Helvetica Neue"/>
        </w:rPr>
      </w:p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Layer-first frontend/backend batches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Can appear faster for isolated modules.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Creates contract drift and delays user-visible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Direct D1 access from web</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Fewer API hops in local code.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Breaks trust boundaries, authorization, and future runtime flexibility.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Synchronous all-in-one operational joins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Simple first dashboard query.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Latency and load grow with order volume; projections are safer.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Client-owned commerce calculations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Feels responsive in the browser.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Violates server ownership and creates financial correctness risk.</w:t>
            </w:r>
          </w:p>
        </w:tc>
      </w:tr>
    </w:tbl>
    <w:p w14:paraId="000000DC">
      <w:pPr>
        <w:pStyle w:val="Heading1"/>
        <w:spacing w:before="0" w:line="269" w:lineRule="auto"/>
        <w:rPr>
          <w:rFonts w:ascii="Helvetica Neue" w:cs="Helvetica Neue" w:eastAsia="Helvetica Neue" w:hAnsi="Helvetica Neue"/>
          <w:color w:val="000000"/>
        </w:rPr>
      </w:p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Open question: which audited mismatch is highest severity and dependency priority for VS-001?</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Open question: which admin catalog, all-orders, and staff-directory contracts should be productized first?</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Open question: what staging role accounts and data fixtures provide repeatable cross-role smoke evidence?</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Open question: which performance budgets and alert owners should be approved for the initial launch cohort?</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t>The recommended decision is to keep one AUD/VS development truth and use this design as the architecture and review reference. Begin with AUD-001, select VS-001 from evidence, and ship each slice only when contract, backend, frontend, tests, observability, deployment, and staging proof agree.</w:t>
      </w:r>
    </w:p>
    <w:p w14:paraId="000000E4">
      <w:pPr>
        <w:spacing w:after="110" w:line="300" w:lineRule="auto"/>
        <w:jc w:val="both"/>
        <w:rPr>
          <w:rFonts w:ascii="Helvetica Neue" w:cs="Helvetica Neue" w:eastAsia="Helvetica Neue" w:hAnsi="Helvetica Neue"/>
        </w:rPr>
      </w:pPr>
      <w:r>
        <w:t>The recommended decision is to keep one AUD/VS development truth and use this design as the architecture and review reference. Begin with AUD-001, select VS-001 from evidence, and ship each slice only when contract, backend, frontend, tests, observability, deployment, and staging proof agree.</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AUD-001 route and contract audit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Every workflow classified with evidence, severity, and resume point.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VS-001 contract-complete slice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Contract, backend, UI, authorization, tests, and local proof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Staging smoke and release rehearsal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Staging role evidence, migrations, observability, and rollback target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Broader rollout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SLOs met, production promotion approved, and rollback tested.</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