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pPr>
      <w:r>
        <w:rPr>
          <w:rFonts w:ascii="Calibri" w:cs="Calibri" w:eastAsia="Calibri" w:hAnsi="Calibri"/>
          <w:b/>
          <w:bCs/>
          <w:color w:val="FE9EC7"/>
          <w:sz w:val="26"/>
          <w:szCs w:val="26"/>
        </w:rPr>
        <w:t xml:space="preserve">✦  IMAGINE LABS</w:t>
      </w:r>
    </w:p>
    <w:p>
      <w:pPr>
        <w:spacing w:before="0" w:after="120"/>
      </w:pPr>
      <w:r>
        <w:rPr>
          <w:rFonts w:ascii="Calibri" w:cs="Calibri" w:eastAsia="Calibri" w:hAnsi="Calibri"/>
          <w:b/>
          <w:bCs/>
          <w:color w:val="0D1520"/>
          <w:sz w:val="56"/>
          <w:szCs w:val="56"/>
        </w:rPr>
        <w:t xml:space="preserve">Engineering &amp; Design Document</w:t>
      </w:r>
    </w:p>
    <w:p>
      <w:pPr>
        <w:spacing w:before="0" w:after="480"/>
      </w:pPr>
      <w:r>
        <w:rPr>
          <w:rFonts w:ascii="Calibri" w:cs="Calibri" w:eastAsia="Calibri" w:hAnsi="Calibri"/>
          <w:i/>
          <w:iCs/>
          <w:color w:val="5A7A96"/>
          <w:sz w:val="24"/>
          <w:szCs w:val="24"/>
        </w:rPr>
        <w:t xml:space="preserve">Landing Page  ·  Brand System  ·  Market Research  ·  Build Specification</w:t>
      </w:r>
    </w:p>
    <w:p>
      <w:pPr>
        <w:pBdr>
          <w:bottom w:val="single" w:color="FE9EC7" w:sz="12" w:space="1"/>
        </w:pBdr>
        <w:spacing w:before="0" w:after="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6ECF5" w:sz="4"/>
              <w:left w:val="single" w:color="D6ECF5" w:sz="4"/>
              <w:bottom w:val="single" w:color="D6ECF5" w:sz="4"/>
              <w:right w:val="single" w:color="D6ECF5" w:sz="4"/>
            </w:tcBorders>
            <w:shd w:fill="EAF4FA"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Product</w:t>
            </w:r>
          </w:p>
        </w:tc>
        <w:tc>
          <w:tcPr>
            <w:tcW w:type="dxa" w:w="676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Imagine Labs — Robotics Synthetic Data Generation Platform</w:t>
            </w:r>
          </w:p>
        </w:tc>
      </w:tr>
      <w:tr>
        <w:tc>
          <w:tcPr>
            <w:tcW w:type="dxa" w:w="2600"/>
            <w:tcBorders>
              <w:top w:val="single" w:color="D6ECF5" w:sz="4"/>
              <w:left w:val="single" w:color="D6ECF5" w:sz="4"/>
              <w:bottom w:val="single" w:color="D6ECF5" w:sz="4"/>
              <w:right w:val="single" w:color="D6ECF5" w:sz="4"/>
            </w:tcBorders>
            <w:shd w:fill="F5FAFE"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Version</w:t>
            </w:r>
          </w:p>
        </w:tc>
        <w:tc>
          <w:tcPr>
            <w:tcW w:type="dxa" w:w="6760"/>
            <w:tcBorders>
              <w:top w:val="single" w:color="D6ECF5" w:sz="4"/>
              <w:left w:val="single" w:color="D6ECF5" w:sz="4"/>
              <w:bottom w:val="single" w:color="D6ECF5" w:sz="4"/>
              <w:right w:val="single" w:color="D6ECF5" w:sz="4"/>
            </w:tcBorders>
            <w:shd w:fill="FAFCFE"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v0.1 — Pre-launch · PMF Discovery Phase</w:t>
            </w:r>
          </w:p>
        </w:tc>
      </w:tr>
      <w:tr>
        <w:tc>
          <w:tcPr>
            <w:tcW w:type="dxa" w:w="2600"/>
            <w:tcBorders>
              <w:top w:val="single" w:color="D6ECF5" w:sz="4"/>
              <w:left w:val="single" w:color="D6ECF5" w:sz="4"/>
              <w:bottom w:val="single" w:color="D6ECF5" w:sz="4"/>
              <w:right w:val="single" w:color="D6ECF5" w:sz="4"/>
            </w:tcBorders>
            <w:shd w:fill="EAF4FA"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Date</w:t>
            </w:r>
          </w:p>
        </w:tc>
        <w:tc>
          <w:tcPr>
            <w:tcW w:type="dxa" w:w="676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March 2025</w:t>
            </w:r>
          </w:p>
        </w:tc>
      </w:tr>
      <w:tr>
        <w:tc>
          <w:tcPr>
            <w:tcW w:type="dxa" w:w="2600"/>
            <w:tcBorders>
              <w:top w:val="single" w:color="D6ECF5" w:sz="4"/>
              <w:left w:val="single" w:color="D6ECF5" w:sz="4"/>
              <w:bottom w:val="single" w:color="D6ECF5" w:sz="4"/>
              <w:right w:val="single" w:color="D6ECF5" w:sz="4"/>
            </w:tcBorders>
            <w:shd w:fill="F5FAFE"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Document purpose</w:t>
            </w:r>
          </w:p>
        </w:tc>
        <w:tc>
          <w:tcPr>
            <w:tcW w:type="dxa" w:w="6760"/>
            <w:tcBorders>
              <w:top w:val="single" w:color="D6ECF5" w:sz="4"/>
              <w:left w:val="single" w:color="D6ECF5" w:sz="4"/>
              <w:bottom w:val="single" w:color="D6ECF5" w:sz="4"/>
              <w:right w:val="single" w:color="D6ECF5" w:sz="4"/>
            </w:tcBorders>
            <w:shd w:fill="FAFCFE"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Guide engineers on exactly what to build for the launch landing page, grounded in market research and validated positioning</w:t>
            </w:r>
          </w:p>
        </w:tc>
      </w:tr>
      <w:tr>
        <w:tc>
          <w:tcPr>
            <w:tcW w:type="dxa" w:w="2600"/>
            <w:tcBorders>
              <w:top w:val="single" w:color="D6ECF5" w:sz="4"/>
              <w:left w:val="single" w:color="D6ECF5" w:sz="4"/>
              <w:bottom w:val="single" w:color="D6ECF5" w:sz="4"/>
              <w:right w:val="single" w:color="D6ECF5" w:sz="4"/>
            </w:tcBorders>
            <w:shd w:fill="EAF4FA"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Target visitor</w:t>
            </w:r>
          </w:p>
        </w:tc>
        <w:tc>
          <w:tcPr>
            <w:tcW w:type="dxa" w:w="676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ML / Perception engineers at robotics companies currently using human annotators</w:t>
            </w:r>
          </w:p>
        </w:tc>
      </w:tr>
      <w:tr>
        <w:tc>
          <w:tcPr>
            <w:tcW w:type="dxa" w:w="2600"/>
            <w:tcBorders>
              <w:top w:val="single" w:color="D6ECF5" w:sz="4"/>
              <w:left w:val="single" w:color="D6ECF5" w:sz="4"/>
              <w:bottom w:val="single" w:color="D6ECF5" w:sz="4"/>
              <w:right w:val="single" w:color="D6ECF5" w:sz="4"/>
            </w:tcBorders>
            <w:shd w:fill="F5FAFE"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Core promise</w:t>
            </w:r>
          </w:p>
        </w:tc>
        <w:tc>
          <w:tcPr>
            <w:tcW w:type="dxa" w:w="6760"/>
            <w:tcBorders>
              <w:top w:val="single" w:color="D6ECF5" w:sz="4"/>
              <w:left w:val="single" w:color="D6ECF5" w:sz="4"/>
              <w:bottom w:val="single" w:color="D6ECF5" w:sz="4"/>
              <w:right w:val="single" w:color="D6ECF5" w:sz="4"/>
            </w:tcBorders>
            <w:shd w:fill="FAFCFE"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Upload your robot video → receive 10,000+ physics-accurate training scenarios overnight, no human labelers</w:t>
            </w:r>
          </w:p>
        </w:tc>
      </w:tr>
      <w:tr>
        <w:tc>
          <w:tcPr>
            <w:tcW w:type="dxa" w:w="2600"/>
            <w:tcBorders>
              <w:top w:val="single" w:color="D6ECF5" w:sz="4"/>
              <w:left w:val="single" w:color="D6ECF5" w:sz="4"/>
              <w:bottom w:val="single" w:color="D6ECF5" w:sz="4"/>
              <w:right w:val="single" w:color="D6ECF5" w:sz="4"/>
            </w:tcBorders>
            <w:shd w:fill="EAF4FA"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Primary goal</w:t>
            </w:r>
          </w:p>
        </w:tc>
        <w:tc>
          <w:tcPr>
            <w:tcW w:type="dxa" w:w="676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Capture email signups from qualified robotics ML engineers to validate PMF before building the product</w:t>
            </w:r>
          </w:p>
        </w:tc>
      </w:tr>
    </w:tbl>
    <w:p>
      <w:r>
        <w:br w:type="page"/>
      </w:r>
    </w:p>
    <w:p>
      <w:pPr>
        <w:spacing w:before="800" w:after="120"/>
      </w:pPr>
      <w:r>
        <w:rPr>
          <w:rFonts w:ascii="Calibri" w:cs="Calibri" w:eastAsia="Calibri" w:hAnsi="Calibri"/>
          <w:b/>
          <w:bCs/>
          <w:color w:val="FE9EC7"/>
          <w:sz w:val="26"/>
          <w:szCs w:val="26"/>
        </w:rPr>
        <w:t xml:space="preserve">01</w:t>
      </w:r>
    </w:p>
    <w:p>
      <w:pPr>
        <w:spacing w:before="0" w:after="120"/>
      </w:pPr>
      <w:r>
        <w:rPr>
          <w:rFonts w:ascii="Calibri" w:cs="Calibri" w:eastAsia="Calibri" w:hAnsi="Calibri"/>
          <w:b/>
          <w:bCs/>
          <w:color w:val="0D1520"/>
          <w:sz w:val="58"/>
          <w:szCs w:val="58"/>
        </w:rPr>
        <w:t xml:space="preserve">Market Research</w:t>
      </w:r>
    </w:p>
    <w:p>
      <w:pPr>
        <w:spacing w:before="0" w:after="480"/>
      </w:pPr>
      <w:r>
        <w:rPr>
          <w:rFonts w:ascii="Calibri" w:cs="Calibri" w:eastAsia="Calibri" w:hAnsi="Calibri"/>
          <w:i/>
          <w:iCs/>
          <w:color w:val="5A7A96"/>
          <w:sz w:val="24"/>
          <w:szCs w:val="24"/>
        </w:rPr>
        <w:t xml:space="preserve">What exists, who owns what, and where our gap lives</w:t>
      </w:r>
    </w:p>
    <w:p>
      <w:pPr>
        <w:pBdr>
          <w:bottom w:val="single" w:color="AACDDC" w:sz="8" w:space="1"/>
        </w:pBdr>
        <w:spacing w:before="0" w:after="0"/>
      </w:pPr>
      <w:r>
        <w:t xml:space="preserve"/>
      </w:r>
    </w:p>
    <w:p>
      <w:pPr>
        <w:pStyle w:val="Heading1"/>
        <w:pBdr>
          <w:bottom w:val="single" w:color="FE9EC7" w:sz="8" w:space="4"/>
        </w:pBdr>
        <w:spacing w:before="480" w:after="160"/>
      </w:pPr>
      <w:r>
        <w:rPr>
          <w:rFonts w:ascii="Calibri" w:cs="Calibri" w:eastAsia="Calibri" w:hAnsi="Calibri"/>
          <w:b/>
          <w:bCs/>
          <w:color w:val="0D1520"/>
          <w:sz w:val="38"/>
          <w:szCs w:val="38"/>
        </w:rPr>
        <w:t xml:space="preserve">1. Market Size &amp; Momentum</w:t>
      </w:r>
    </w:p>
    <w:p>
      <w:pPr>
        <w:spacing w:before="60" w:after="100"/>
      </w:pPr>
      <w:r>
        <w:rPr>
          <w:rFonts w:ascii="Calibri" w:cs="Calibri" w:eastAsia="Calibri" w:hAnsi="Calibri"/>
          <w:color w:val="333333"/>
          <w:sz w:val="21"/>
          <w:szCs w:val="21"/>
        </w:rPr>
        <w:t xml:space="preserve">The robotics synthetic data space is large, growing fast, and fragmented at the level we are targeting. There is no dominant player who owns the "video-in, scenarios-out" workflow.</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6ECF5" w:sz="4"/>
              <w:left w:val="single" w:color="D6ECF5" w:sz="4"/>
              <w:bottom w:val="single" w:color="D6ECF5" w:sz="4"/>
              <w:right w:val="single" w:color="D6ECF5" w:sz="4"/>
            </w:tcBorders>
            <w:shd w:fill="EAF4FA"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Robotics data labeling market (2024)</w:t>
            </w:r>
          </w:p>
        </w:tc>
        <w:tc>
          <w:tcPr>
            <w:tcW w:type="dxa" w:w="676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$1.34B — projected $9.29B by 2033 at 21.7% CAGR</w:t>
            </w:r>
          </w:p>
        </w:tc>
      </w:tr>
      <w:tr>
        <w:tc>
          <w:tcPr>
            <w:tcW w:type="dxa" w:w="2600"/>
            <w:tcBorders>
              <w:top w:val="single" w:color="D6ECF5" w:sz="4"/>
              <w:left w:val="single" w:color="D6ECF5" w:sz="4"/>
              <w:bottom w:val="single" w:color="D6ECF5" w:sz="4"/>
              <w:right w:val="single" w:color="D6ECF5" w:sz="4"/>
            </w:tcBorders>
            <w:shd w:fill="F5FAFE"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Synthetic data market (2025)</w:t>
            </w:r>
          </w:p>
        </w:tc>
        <w:tc>
          <w:tcPr>
            <w:tcW w:type="dxa" w:w="6760"/>
            <w:tcBorders>
              <w:top w:val="single" w:color="D6ECF5" w:sz="4"/>
              <w:left w:val="single" w:color="D6ECF5" w:sz="4"/>
              <w:bottom w:val="single" w:color="D6ECF5" w:sz="4"/>
              <w:right w:val="single" w:color="D6ECF5" w:sz="4"/>
            </w:tcBorders>
            <w:shd w:fill="FAFCFE"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$0.51B — projected $2.67B by 2030 at 39.4% CAGR</w:t>
            </w:r>
          </w:p>
        </w:tc>
      </w:tr>
      <w:tr>
        <w:tc>
          <w:tcPr>
            <w:tcW w:type="dxa" w:w="2600"/>
            <w:tcBorders>
              <w:top w:val="single" w:color="D6ECF5" w:sz="4"/>
              <w:left w:val="single" w:color="D6ECF5" w:sz="4"/>
              <w:bottom w:val="single" w:color="D6ECF5" w:sz="4"/>
              <w:right w:val="single" w:color="D6ECF5" w:sz="4"/>
            </w:tcBorders>
            <w:shd w:fill="EAF4FA"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Gartner prediction by 2030</w:t>
            </w:r>
          </w:p>
        </w:tc>
        <w:tc>
          <w:tcPr>
            <w:tcW w:type="dxa" w:w="676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Synthetic data will surpass real data in AI model training</w:t>
            </w:r>
          </w:p>
        </w:tc>
      </w:tr>
      <w:tr>
        <w:tc>
          <w:tcPr>
            <w:tcW w:type="dxa" w:w="2600"/>
            <w:tcBorders>
              <w:top w:val="single" w:color="D6ECF5" w:sz="4"/>
              <w:left w:val="single" w:color="D6ECF5" w:sz="4"/>
              <w:bottom w:val="single" w:color="D6ECF5" w:sz="4"/>
              <w:right w:val="single" w:color="D6ECF5" w:sz="4"/>
            </w:tcBorders>
            <w:shd w:fill="F5FAFE"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Annotation time savings</w:t>
            </w:r>
          </w:p>
        </w:tc>
        <w:tc>
          <w:tcPr>
            <w:tcW w:type="dxa" w:w="6760"/>
            <w:tcBorders>
              <w:top w:val="single" w:color="D6ECF5" w:sz="4"/>
              <w:left w:val="single" w:color="D6ECF5" w:sz="4"/>
              <w:bottom w:val="single" w:color="D6ECF5" w:sz="4"/>
              <w:right w:val="single" w:color="D6ECF5" w:sz="4"/>
            </w:tcBorders>
            <w:shd w:fill="FAFCFE"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46% of robotics validation engineer time saved with synthetic data pipelines (validated)</w:t>
            </w:r>
          </w:p>
        </w:tc>
      </w:tr>
      <w:tr>
        <w:tc>
          <w:tcPr>
            <w:tcW w:type="dxa" w:w="2600"/>
            <w:tcBorders>
              <w:top w:val="single" w:color="D6ECF5" w:sz="4"/>
              <w:left w:val="single" w:color="D6ECF5" w:sz="4"/>
              <w:bottom w:val="single" w:color="D6ECF5" w:sz="4"/>
              <w:right w:val="single" w:color="D6ECF5" w:sz="4"/>
            </w:tcBorders>
            <w:shd w:fill="EAF4FA"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Source of perception failures</w:t>
            </w:r>
          </w:p>
        </w:tc>
        <w:tc>
          <w:tcPr>
            <w:tcW w:type="dxa" w:w="676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60%+ of robotic system perception failures trace back to training data errors — annotation is the primary culprit</w:t>
            </w:r>
          </w:p>
        </w:tc>
      </w:tr>
      <w:tr>
        <w:tc>
          <w:tcPr>
            <w:tcW w:type="dxa" w:w="2600"/>
            <w:tcBorders>
              <w:top w:val="single" w:color="D6ECF5" w:sz="4"/>
              <w:left w:val="single" w:color="D6ECF5" w:sz="4"/>
              <w:bottom w:val="single" w:color="D6ECF5" w:sz="4"/>
              <w:right w:val="single" w:color="D6ECF5" w:sz="4"/>
            </w:tcBorders>
            <w:shd w:fill="F5FAFE"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Cost of 1 hour of video</w:t>
            </w:r>
          </w:p>
        </w:tc>
        <w:tc>
          <w:tcPr>
            <w:tcW w:type="dxa" w:w="6760"/>
            <w:tcBorders>
              <w:top w:val="single" w:color="D6ECF5" w:sz="4"/>
              <w:left w:val="single" w:color="D6ECF5" w:sz="4"/>
              <w:bottom w:val="single" w:color="D6ECF5" w:sz="4"/>
              <w:right w:val="single" w:color="D6ECF5" w:sz="4"/>
            </w:tcBorders>
            <w:shd w:fill="FAFCFE"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200–800 human hours to annotate one hour of manipulation footage</w:t>
            </w:r>
          </w:p>
        </w:tc>
      </w:tr>
      <w:tr>
        <w:tc>
          <w:tcPr>
            <w:tcW w:type="dxa" w:w="2600"/>
            <w:tcBorders>
              <w:top w:val="single" w:color="D6ECF5" w:sz="4"/>
              <w:left w:val="single" w:color="D6ECF5" w:sz="4"/>
              <w:bottom w:val="single" w:color="D6ECF5" w:sz="4"/>
              <w:right w:val="single" w:color="D6ECF5" w:sz="4"/>
            </w:tcBorders>
            <w:shd w:fill="EAF4FA"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Data prep burden</w:t>
            </w:r>
          </w:p>
        </w:tc>
        <w:tc>
          <w:tcPr>
            <w:tcW w:type="dxa" w:w="676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Robotics perception engineers spend 35%+ of project time collecting and cleaning data before training begins</w:t>
            </w:r>
          </w:p>
        </w:tc>
      </w:tr>
    </w:tbl>
    <w:p>
      <w:pPr>
        <w:spacing w:before="160" w:after="0"/>
      </w:pPr>
      <w:r>
        <w:t xml:space="preserve"/>
      </w:r>
    </w:p>
    <w:p>
      <w:pPr>
        <w:pStyle w:val="Heading1"/>
        <w:pBdr>
          <w:bottom w:val="single" w:color="FE9EC7" w:sz="8" w:space="4"/>
        </w:pBdr>
        <w:spacing w:before="480" w:after="160"/>
      </w:pPr>
      <w:r>
        <w:rPr>
          <w:rFonts w:ascii="Calibri" w:cs="Calibri" w:eastAsia="Calibri" w:hAnsi="Calibri"/>
          <w:b/>
          <w:bCs/>
          <w:color w:val="0D1520"/>
          <w:sz w:val="38"/>
          <w:szCs w:val="38"/>
        </w:rPr>
        <w:t xml:space="preserve">2. Competitive Landscape</w:t>
      </w:r>
    </w:p>
    <w:p>
      <w:pPr>
        <w:spacing w:before="60" w:after="100"/>
      </w:pPr>
      <w:r>
        <w:rPr>
          <w:rFonts w:ascii="Calibri" w:cs="Calibri" w:eastAsia="Calibri" w:hAnsi="Calibri"/>
          <w:color w:val="333333"/>
          <w:sz w:val="21"/>
          <w:szCs w:val="21"/>
        </w:rPr>
        <w:t xml:space="preserve">Two distinct camps exist — enterprise infrastructure (powerful but inaccessible) and human annotation vendors (the incumbent we replace). Nobody owns the middle.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2700"/>
        <w:gridCol w:w="2960"/>
      </w:tblGrid>
      <w:tr>
        <w:tc>
          <w:tcPr>
            <w:tcW w:type="dxa" w:w="1600"/>
            <w:tcBorders>
              <w:top w:val="single" w:color="81A6C6" w:sz="4"/>
              <w:left w:val="single" w:color="81A6C6" w:sz="4"/>
              <w:bottom w:val="single" w:color="81A6C6" w:sz="4"/>
              <w:right w:val="single" w:color="81A6C6" w:sz="4"/>
            </w:tcBorders>
            <w:shd w:fill="0D1520" w:val="clear"/>
            <w:tcMar>
              <w:top w:type="dxa" w:w="80"/>
              <w:left w:type="dxa" w:w="110"/>
              <w:bottom w:type="dxa" w:w="80"/>
              <w:right w:type="dxa" w:w="110"/>
            </w:tcMar>
          </w:tcPr>
          <w:p>
            <w:r>
              <w:rPr>
                <w:rFonts w:ascii="Calibri" w:cs="Calibri" w:eastAsia="Calibri" w:hAnsi="Calibri"/>
                <w:b/>
                <w:bCs/>
                <w:color w:val="AACDDC"/>
                <w:sz w:val="19"/>
                <w:szCs w:val="19"/>
              </w:rPr>
              <w:t xml:space="preserve">Competitor</w:t>
            </w:r>
          </w:p>
        </w:tc>
        <w:tc>
          <w:tcPr>
            <w:tcW w:type="dxa" w:w="2100"/>
            <w:tcBorders>
              <w:top w:val="single" w:color="81A6C6" w:sz="4"/>
              <w:left w:val="single" w:color="81A6C6" w:sz="4"/>
              <w:bottom w:val="single" w:color="81A6C6" w:sz="4"/>
              <w:right w:val="single" w:color="81A6C6" w:sz="4"/>
            </w:tcBorders>
            <w:shd w:fill="0D1520" w:val="clear"/>
            <w:tcMar>
              <w:top w:type="dxa" w:w="80"/>
              <w:left w:type="dxa" w:w="110"/>
              <w:bottom w:type="dxa" w:w="80"/>
              <w:right w:type="dxa" w:w="110"/>
            </w:tcMar>
          </w:tcPr>
          <w:p>
            <w:r>
              <w:rPr>
                <w:rFonts w:ascii="Calibri" w:cs="Calibri" w:eastAsia="Calibri" w:hAnsi="Calibri"/>
                <w:b/>
                <w:bCs/>
                <w:color w:val="AACDDC"/>
                <w:sz w:val="19"/>
                <w:szCs w:val="19"/>
              </w:rPr>
              <w:t xml:space="preserve">Their Approach</w:t>
            </w:r>
          </w:p>
        </w:tc>
        <w:tc>
          <w:tcPr>
            <w:tcW w:type="dxa" w:w="2700"/>
            <w:tcBorders>
              <w:top w:val="single" w:color="81A6C6" w:sz="4"/>
              <w:left w:val="single" w:color="81A6C6" w:sz="4"/>
              <w:bottom w:val="single" w:color="81A6C6" w:sz="4"/>
              <w:right w:val="single" w:color="81A6C6" w:sz="4"/>
            </w:tcBorders>
            <w:shd w:fill="0D1520" w:val="clear"/>
            <w:tcMar>
              <w:top w:type="dxa" w:w="80"/>
              <w:left w:type="dxa" w:w="110"/>
              <w:bottom w:type="dxa" w:w="80"/>
              <w:right w:type="dxa" w:w="110"/>
            </w:tcMar>
          </w:tcPr>
          <w:p>
            <w:r>
              <w:rPr>
                <w:rFonts w:ascii="Calibri" w:cs="Calibri" w:eastAsia="Calibri" w:hAnsi="Calibri"/>
                <w:b/>
                <w:bCs/>
                <w:color w:val="AACDDC"/>
                <w:sz w:val="19"/>
                <w:szCs w:val="19"/>
              </w:rPr>
              <w:t xml:space="preserve">Core Weakness</w:t>
            </w:r>
          </w:p>
        </w:tc>
        <w:tc>
          <w:tcPr>
            <w:tcW w:type="dxa" w:w="2960"/>
            <w:tcBorders>
              <w:top w:val="single" w:color="81A6C6" w:sz="4"/>
              <w:left w:val="single" w:color="81A6C6" w:sz="4"/>
              <w:bottom w:val="single" w:color="81A6C6" w:sz="4"/>
              <w:right w:val="single" w:color="81A6C6" w:sz="4"/>
            </w:tcBorders>
            <w:shd w:fill="0D1520" w:val="clear"/>
            <w:tcMar>
              <w:top w:type="dxa" w:w="80"/>
              <w:left w:type="dxa" w:w="110"/>
              <w:bottom w:type="dxa" w:w="80"/>
              <w:right w:type="dxa" w:w="110"/>
            </w:tcMar>
          </w:tcPr>
          <w:p>
            <w:r>
              <w:rPr>
                <w:rFonts w:ascii="Calibri" w:cs="Calibri" w:eastAsia="Calibri" w:hAnsi="Calibri"/>
                <w:b/>
                <w:bCs/>
                <w:color w:val="AACDDC"/>
                <w:sz w:val="19"/>
                <w:szCs w:val="19"/>
              </w:rPr>
              <w:t xml:space="preserve">Our Edge Over Them</w:t>
            </w:r>
          </w:p>
        </w:tc>
      </w:tr>
      <w:tr>
        <w:tc>
          <w:tcPr>
            <w:tcW w:type="dxa" w:w="1600"/>
            <w:tcBorders>
              <w:top w:val="single" w:color="D6ECF5" w:sz="4"/>
              <w:left w:val="single" w:color="D6ECF5" w:sz="4"/>
              <w:bottom w:val="single" w:color="D6ECF5" w:sz="4"/>
              <w:right w:val="single" w:color="D6ECF5" w:sz="4"/>
            </w:tcBorders>
            <w:shd w:fill="F0F7FC"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NVIDIA Isaac Sim + Cosmos</w:t>
            </w:r>
          </w:p>
        </w:tc>
        <w:tc>
          <w:tcPr>
            <w:tcW w:type="dxa" w:w="2100"/>
            <w:tcBorders>
              <w:top w:val="single" w:color="D6ECF5" w:sz="4"/>
              <w:left w:val="single" w:color="D6ECF5" w:sz="4"/>
              <w:bottom w:val="single" w:color="D6ECF5" w:sz="4"/>
              <w:right w:val="single" w:color="D6ECF5" w:sz="4"/>
            </w:tcBorders>
            <w:shd w:fill="F8FBFE"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Full simulation platform; digital twin pipeline from smartphone capture</w:t>
            </w:r>
          </w:p>
        </w:tc>
        <w:tc>
          <w:tcPr>
            <w:tcW w:type="dxa" w:w="2700"/>
            <w:tcBorders>
              <w:top w:val="single" w:color="D6ECF5" w:sz="4"/>
              <w:left w:val="single" w:color="D6ECF5" w:sz="4"/>
              <w:bottom w:val="single" w:color="D6ECF5" w:sz="4"/>
              <w:right w:val="single" w:color="D6ECF5" w:sz="4"/>
            </w:tcBorders>
            <w:shd w:fill="FEF5F8" w:val="clear"/>
            <w:tcMar>
              <w:top w:type="dxa" w:w="80"/>
              <w:left w:type="dxa" w:w="110"/>
              <w:bottom w:type="dxa" w:w="80"/>
              <w:right w:type="dxa" w:w="110"/>
            </w:tcMar>
          </w:tcPr>
          <w:p>
            <w:r>
              <w:rPr>
                <w:rFonts w:ascii="Calibri" w:cs="Calibri" w:eastAsia="Calibri" w:hAnsi="Calibri"/>
                <w:b w:val="false"/>
                <w:bCs w:val="false"/>
                <w:i w:val="false"/>
                <w:iCs w:val="false"/>
                <w:color w:val="7A3A4A"/>
                <w:sz w:val="20"/>
                <w:szCs w:val="20"/>
              </w:rPr>
              <w:t xml:space="preserve">Requires sim engineers + months of setup. Heavy NVIDIA stack dependency. Not accessible to a 5-person ML team.</w:t>
            </w:r>
          </w:p>
        </w:tc>
        <w:tc>
          <w:tcPr>
            <w:tcW w:type="dxa" w:w="2960"/>
            <w:tcBorders>
              <w:top w:val="single" w:color="D6ECF5" w:sz="4"/>
              <w:left w:val="single" w:color="D6ECF5" w:sz="4"/>
              <w:bottom w:val="single" w:color="D6ECF5" w:sz="4"/>
              <w:right w:val="single" w:color="D6ECF5" w:sz="4"/>
            </w:tcBorders>
            <w:shd w:fill="F0FAF4" w:val="clear"/>
            <w:tcMar>
              <w:top w:type="dxa" w:w="80"/>
              <w:left w:type="dxa" w:w="110"/>
              <w:bottom w:type="dxa" w:w="80"/>
              <w:right w:type="dxa" w:w="110"/>
            </w:tcMar>
          </w:tcPr>
          <w:p>
            <w:r>
              <w:rPr>
                <w:rFonts w:ascii="Calibri" w:cs="Calibri" w:eastAsia="Calibri" w:hAnsi="Calibri"/>
                <w:b w:val="false"/>
                <w:bCs w:val="false"/>
                <w:i w:val="false"/>
                <w:iCs w:val="false"/>
                <w:color w:val="2A6040"/>
                <w:sz w:val="20"/>
                <w:szCs w:val="20"/>
              </w:rPr>
              <w:t xml:space="preserve">No simulation expertise needed. Works from footage you already have.</w:t>
            </w:r>
          </w:p>
        </w:tc>
      </w:tr>
      <w:tr>
        <w:tc>
          <w:tcPr>
            <w:tcW w:type="dxa" w:w="1600"/>
            <w:tcBorders>
              <w:top w:val="single" w:color="D6ECF5" w:sz="4"/>
              <w:left w:val="single" w:color="D6ECF5" w:sz="4"/>
              <w:bottom w:val="single" w:color="D6ECF5" w:sz="4"/>
              <w:right w:val="single" w:color="D6ECF5" w:sz="4"/>
            </w:tcBorders>
            <w:shd w:fill="FAFCFE"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Lightwheel AI</w:t>
            </w:r>
          </w:p>
        </w:tc>
        <w:tc>
          <w:tcPr>
            <w:tcW w:type="dxa" w:w="210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SimReady 3D assets + egocentric human data + evaluation platform. Backed by Google DeepMind, Figure, BYD.</w:t>
            </w:r>
          </w:p>
        </w:tc>
        <w:tc>
          <w:tcPr>
            <w:tcW w:type="dxa" w:w="2700"/>
            <w:tcBorders>
              <w:top w:val="single" w:color="D6ECF5" w:sz="4"/>
              <w:left w:val="single" w:color="D6ECF5" w:sz="4"/>
              <w:bottom w:val="single" w:color="D6ECF5" w:sz="4"/>
              <w:right w:val="single" w:color="D6ECF5" w:sz="4"/>
            </w:tcBorders>
            <w:shd w:fill="FFFBFC" w:val="clear"/>
            <w:tcMar>
              <w:top w:type="dxa" w:w="80"/>
              <w:left w:type="dxa" w:w="110"/>
              <w:bottom w:type="dxa" w:w="80"/>
              <w:right w:type="dxa" w:w="110"/>
            </w:tcMar>
          </w:tcPr>
          <w:p>
            <w:r>
              <w:rPr>
                <w:rFonts w:ascii="Calibri" w:cs="Calibri" w:eastAsia="Calibri" w:hAnsi="Calibri"/>
                <w:b w:val="false"/>
                <w:bCs w:val="false"/>
                <w:i w:val="false"/>
                <w:iCs w:val="false"/>
                <w:color w:val="7A3A4A"/>
                <w:sz w:val="20"/>
                <w:szCs w:val="20"/>
              </w:rPr>
              <w:t xml:space="preserve">Asset-first: you build scenes from scratch. No video-to-data pipeline. More infrastructure than product.</w:t>
            </w:r>
          </w:p>
        </w:tc>
        <w:tc>
          <w:tcPr>
            <w:tcW w:type="dxa" w:w="2960"/>
            <w:tcBorders>
              <w:top w:val="single" w:color="D6ECF5" w:sz="4"/>
              <w:left w:val="single" w:color="D6ECF5" w:sz="4"/>
              <w:bottom w:val="single" w:color="D6ECF5" w:sz="4"/>
              <w:right w:val="single" w:color="D6ECF5" w:sz="4"/>
            </w:tcBorders>
            <w:shd w:fill="F8FDFB" w:val="clear"/>
            <w:tcMar>
              <w:top w:type="dxa" w:w="80"/>
              <w:left w:type="dxa" w:w="110"/>
              <w:bottom w:type="dxa" w:w="80"/>
              <w:right w:type="dxa" w:w="110"/>
            </w:tcMar>
          </w:tcPr>
          <w:p>
            <w:r>
              <w:rPr>
                <w:rFonts w:ascii="Calibri" w:cs="Calibri" w:eastAsia="Calibri" w:hAnsi="Calibri"/>
                <w:b w:val="false"/>
                <w:bCs w:val="false"/>
                <w:i w:val="false"/>
                <w:iCs w:val="false"/>
                <w:color w:val="2A6040"/>
                <w:sz w:val="20"/>
                <w:szCs w:val="20"/>
              </w:rPr>
              <w:t xml:space="preserve">We extract from real video — no 3D scene building, no asset library dependency.</w:t>
            </w:r>
          </w:p>
        </w:tc>
      </w:tr>
      <w:tr>
        <w:tc>
          <w:tcPr>
            <w:tcW w:type="dxa" w:w="1600"/>
            <w:tcBorders>
              <w:top w:val="single" w:color="D6ECF5" w:sz="4"/>
              <w:left w:val="single" w:color="D6ECF5" w:sz="4"/>
              <w:bottom w:val="single" w:color="D6ECF5" w:sz="4"/>
              <w:right w:val="single" w:color="D6ECF5" w:sz="4"/>
            </w:tcBorders>
            <w:shd w:fill="F0F7FC"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Bifrost AI</w:t>
            </w:r>
          </w:p>
        </w:tc>
        <w:tc>
          <w:tcPr>
            <w:tcW w:type="dxa" w:w="2100"/>
            <w:tcBorders>
              <w:top w:val="single" w:color="D6ECF5" w:sz="4"/>
              <w:left w:val="single" w:color="D6ECF5" w:sz="4"/>
              <w:bottom w:val="single" w:color="D6ECF5" w:sz="4"/>
              <w:right w:val="single" w:color="D6ECF5" w:sz="4"/>
            </w:tcBorders>
            <w:shd w:fill="F8FBFE"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Generate synthetic data from virtual fleets across 3D environments and sensor perturbations</w:t>
            </w:r>
          </w:p>
        </w:tc>
        <w:tc>
          <w:tcPr>
            <w:tcW w:type="dxa" w:w="2700"/>
            <w:tcBorders>
              <w:top w:val="single" w:color="D6ECF5" w:sz="4"/>
              <w:left w:val="single" w:color="D6ECF5" w:sz="4"/>
              <w:bottom w:val="single" w:color="D6ECF5" w:sz="4"/>
              <w:right w:val="single" w:color="D6ECF5" w:sz="4"/>
            </w:tcBorders>
            <w:shd w:fill="FEF5F8" w:val="clear"/>
            <w:tcMar>
              <w:top w:type="dxa" w:w="80"/>
              <w:left w:type="dxa" w:w="110"/>
              <w:bottom w:type="dxa" w:w="80"/>
              <w:right w:type="dxa" w:w="110"/>
            </w:tcMar>
          </w:tcPr>
          <w:p>
            <w:r>
              <w:rPr>
                <w:rFonts w:ascii="Calibri" w:cs="Calibri" w:eastAsia="Calibri" w:hAnsi="Calibri"/>
                <w:b w:val="false"/>
                <w:bCs w:val="false"/>
                <w:i w:val="false"/>
                <w:iCs w:val="false"/>
                <w:color w:val="7A3A4A"/>
                <w:sz w:val="20"/>
                <w:szCs w:val="20"/>
              </w:rPr>
              <w:t xml:space="preserve">Generates from scratch — not grounded in your actual robot dynamics or your real environment. Physics defaults, not calibrated.</w:t>
            </w:r>
          </w:p>
        </w:tc>
        <w:tc>
          <w:tcPr>
            <w:tcW w:type="dxa" w:w="2960"/>
            <w:tcBorders>
              <w:top w:val="single" w:color="D6ECF5" w:sz="4"/>
              <w:left w:val="single" w:color="D6ECF5" w:sz="4"/>
              <w:bottom w:val="single" w:color="D6ECF5" w:sz="4"/>
              <w:right w:val="single" w:color="D6ECF5" w:sz="4"/>
            </w:tcBorders>
            <w:shd w:fill="F0FAF4" w:val="clear"/>
            <w:tcMar>
              <w:top w:type="dxa" w:w="80"/>
              <w:left w:type="dxa" w:w="110"/>
              <w:bottom w:type="dxa" w:w="80"/>
              <w:right w:type="dxa" w:w="110"/>
            </w:tcMar>
          </w:tcPr>
          <w:p>
            <w:r>
              <w:rPr>
                <w:rFonts w:ascii="Calibri" w:cs="Calibri" w:eastAsia="Calibri" w:hAnsi="Calibri"/>
                <w:b w:val="false"/>
                <w:bCs w:val="false"/>
                <w:i w:val="false"/>
                <w:iCs w:val="false"/>
                <w:color w:val="2A6040"/>
                <w:sz w:val="20"/>
                <w:szCs w:val="20"/>
              </w:rPr>
              <w:t xml:space="preserve">Physics calibrated to your specific robot from your actual footage. Not generic.</w:t>
            </w:r>
          </w:p>
        </w:tc>
      </w:tr>
      <w:tr>
        <w:tc>
          <w:tcPr>
            <w:tcW w:type="dxa" w:w="1600"/>
            <w:tcBorders>
              <w:top w:val="single" w:color="D6ECF5" w:sz="4"/>
              <w:left w:val="single" w:color="D6ECF5" w:sz="4"/>
              <w:bottom w:val="single" w:color="D6ECF5" w:sz="4"/>
              <w:right w:val="single" w:color="D6ECF5" w:sz="4"/>
            </w:tcBorders>
            <w:shd w:fill="FAFCFE"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Scale AI / iMerit / CVAT</w:t>
            </w:r>
          </w:p>
        </w:tc>
        <w:tc>
          <w:tcPr>
            <w:tcW w:type="dxa" w:w="210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Human annotation outsourcing for robotics datasets (3D point clouds, trajectories, segmentation)</w:t>
            </w:r>
          </w:p>
        </w:tc>
        <w:tc>
          <w:tcPr>
            <w:tcW w:type="dxa" w:w="2700"/>
            <w:tcBorders>
              <w:top w:val="single" w:color="D6ECF5" w:sz="4"/>
              <w:left w:val="single" w:color="D6ECF5" w:sz="4"/>
              <w:bottom w:val="single" w:color="D6ECF5" w:sz="4"/>
              <w:right w:val="single" w:color="D6ECF5" w:sz="4"/>
            </w:tcBorders>
            <w:shd w:fill="FFFBFC" w:val="clear"/>
            <w:tcMar>
              <w:top w:type="dxa" w:w="80"/>
              <w:left w:type="dxa" w:w="110"/>
              <w:bottom w:type="dxa" w:w="80"/>
              <w:right w:type="dxa" w:w="110"/>
            </w:tcMar>
          </w:tcPr>
          <w:p>
            <w:r>
              <w:rPr>
                <w:rFonts w:ascii="Calibri" w:cs="Calibri" w:eastAsia="Calibri" w:hAnsi="Calibri"/>
                <w:b w:val="false"/>
                <w:bCs w:val="false"/>
                <w:i w:val="false"/>
                <w:iCs w:val="false"/>
                <w:color w:val="7A3A4A"/>
                <w:sz w:val="20"/>
                <w:szCs w:val="20"/>
              </w:rPr>
              <w:t xml:space="preserve">Slow (weeks per dataset). Expensive. Doesn't produce scenario diversity. Humans label — they don't generate.</w:t>
            </w:r>
          </w:p>
        </w:tc>
        <w:tc>
          <w:tcPr>
            <w:tcW w:type="dxa" w:w="2960"/>
            <w:tcBorders>
              <w:top w:val="single" w:color="D6ECF5" w:sz="4"/>
              <w:left w:val="single" w:color="D6ECF5" w:sz="4"/>
              <w:bottom w:val="single" w:color="D6ECF5" w:sz="4"/>
              <w:right w:val="single" w:color="D6ECF5" w:sz="4"/>
            </w:tcBorders>
            <w:shd w:fill="F8FDFB" w:val="clear"/>
            <w:tcMar>
              <w:top w:type="dxa" w:w="80"/>
              <w:left w:type="dxa" w:w="110"/>
              <w:bottom w:type="dxa" w:w="80"/>
              <w:right w:type="dxa" w:w="110"/>
            </w:tcMar>
          </w:tcPr>
          <w:p>
            <w:r>
              <w:rPr>
                <w:rFonts w:ascii="Calibri" w:cs="Calibri" w:eastAsia="Calibri" w:hAnsi="Calibri"/>
                <w:b w:val="false"/>
                <w:bCs w:val="false"/>
                <w:i w:val="false"/>
                <w:iCs w:val="false"/>
                <w:color w:val="2A6040"/>
                <w:sz w:val="20"/>
                <w:szCs w:val="20"/>
              </w:rPr>
              <w:t xml:space="preserve">Fully automated. 10,000 scenarios overnight vs 3–8 weeks of annotation turnaround.</w:t>
            </w:r>
          </w:p>
        </w:tc>
      </w:tr>
      <w:tr>
        <w:tc>
          <w:tcPr>
            <w:tcW w:type="dxa" w:w="1600"/>
            <w:tcBorders>
              <w:top w:val="single" w:color="D6ECF5" w:sz="4"/>
              <w:left w:val="single" w:color="D6ECF5" w:sz="4"/>
              <w:bottom w:val="single" w:color="D6ECF5" w:sz="4"/>
              <w:right w:val="single" w:color="D6ECF5" w:sz="4"/>
            </w:tcBorders>
            <w:shd w:fill="F0F7FC"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Roboflow ($40M Series B)</w:t>
            </w:r>
          </w:p>
        </w:tc>
        <w:tc>
          <w:tcPr>
            <w:tcW w:type="dxa" w:w="2100"/>
            <w:tcBorders>
              <w:top w:val="single" w:color="D6ECF5" w:sz="4"/>
              <w:left w:val="single" w:color="D6ECF5" w:sz="4"/>
              <w:bottom w:val="single" w:color="D6ECF5" w:sz="4"/>
              <w:right w:val="single" w:color="D6ECF5" w:sz="4"/>
            </w:tcBorders>
            <w:shd w:fill="F8FBFE"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Computer vision dataset management, model training + deployment platform</w:t>
            </w:r>
          </w:p>
        </w:tc>
        <w:tc>
          <w:tcPr>
            <w:tcW w:type="dxa" w:w="2700"/>
            <w:tcBorders>
              <w:top w:val="single" w:color="D6ECF5" w:sz="4"/>
              <w:left w:val="single" w:color="D6ECF5" w:sz="4"/>
              <w:bottom w:val="single" w:color="D6ECF5" w:sz="4"/>
              <w:right w:val="single" w:color="D6ECF5" w:sz="4"/>
            </w:tcBorders>
            <w:shd w:fill="FEF5F8" w:val="clear"/>
            <w:tcMar>
              <w:top w:type="dxa" w:w="80"/>
              <w:left w:type="dxa" w:w="110"/>
              <w:bottom w:type="dxa" w:w="80"/>
              <w:right w:type="dxa" w:w="110"/>
            </w:tcMar>
          </w:tcPr>
          <w:p>
            <w:r>
              <w:rPr>
                <w:rFonts w:ascii="Calibri" w:cs="Calibri" w:eastAsia="Calibri" w:hAnsi="Calibri"/>
                <w:b w:val="false"/>
                <w:bCs w:val="false"/>
                <w:i w:val="false"/>
                <w:iCs w:val="false"/>
                <w:color w:val="7A3A4A"/>
                <w:sz w:val="20"/>
                <w:szCs w:val="20"/>
              </w:rPr>
              <w:t xml:space="preserve">General CV, not robotics-specific. No physics simulation, no trajectory generation, no manipulation focus.</w:t>
            </w:r>
          </w:p>
        </w:tc>
        <w:tc>
          <w:tcPr>
            <w:tcW w:type="dxa" w:w="2960"/>
            <w:tcBorders>
              <w:top w:val="single" w:color="D6ECF5" w:sz="4"/>
              <w:left w:val="single" w:color="D6ECF5" w:sz="4"/>
              <w:bottom w:val="single" w:color="D6ECF5" w:sz="4"/>
              <w:right w:val="single" w:color="D6ECF5" w:sz="4"/>
            </w:tcBorders>
            <w:shd w:fill="F0FAF4" w:val="clear"/>
            <w:tcMar>
              <w:top w:type="dxa" w:w="80"/>
              <w:left w:type="dxa" w:w="110"/>
              <w:bottom w:type="dxa" w:w="80"/>
              <w:right w:type="dxa" w:w="110"/>
            </w:tcMar>
          </w:tcPr>
          <w:p>
            <w:r>
              <w:rPr>
                <w:rFonts w:ascii="Calibri" w:cs="Calibri" w:eastAsia="Calibri" w:hAnsi="Calibri"/>
                <w:b w:val="false"/>
                <w:bCs w:val="false"/>
                <w:i w:val="false"/>
                <w:iCs w:val="false"/>
                <w:color w:val="2A6040"/>
                <w:sz w:val="20"/>
                <w:szCs w:val="20"/>
              </w:rPr>
              <w:t xml:space="preserve">Purpose-built for robot trajectories, physics scenarios, and manipulation tasks.</w:t>
            </w:r>
          </w:p>
        </w:tc>
      </w:tr>
    </w:tbl>
    <w:p>
      <w:pPr>
        <w:spacing w:before="160" w:after="0"/>
      </w:pPr>
      <w:r>
        <w:t xml:space="preserve"/>
      </w:r>
    </w:p>
    <w:p>
      <w:pPr>
        <w:pStyle w:val="Heading1"/>
        <w:pBdr>
          <w:bottom w:val="single" w:color="FE9EC7" w:sz="8" w:space="4"/>
        </w:pBdr>
        <w:spacing w:before="480" w:after="160"/>
      </w:pPr>
      <w:r>
        <w:rPr>
          <w:rFonts w:ascii="Calibri" w:cs="Calibri" w:eastAsia="Calibri" w:hAnsi="Calibri"/>
          <w:b/>
          <w:bCs/>
          <w:color w:val="0D1520"/>
          <w:sz w:val="38"/>
          <w:szCs w:val="38"/>
        </w:rPr>
        <w:t xml:space="preserve">3. The Gap Imagine Labs Owns</w:t>
      </w:r>
    </w:p>
    <w:p>
      <w:pPr>
        <w:spacing w:before="60" w:after="100"/>
      </w:pPr>
      <w:r>
        <w:rPr>
          <w:rFonts w:ascii="Calibri" w:cs="Calibri" w:eastAsia="Calibri" w:hAnsi="Calibri"/>
          <w:color w:val="333333"/>
          <w:sz w:val="21"/>
          <w:szCs w:val="21"/>
        </w:rPr>
        <w:t xml:space="preserve">No competitor currently offers a pipeline that: (a) starts from existing real-world video, (b) auto-calibrates physics to your actual robot, and (c) requires zero simulation engineering expertise to use. This is the wedge.</w:t>
      </w:r>
    </w:p>
    <w:p>
      <w:pPr>
        <w:spacing w:before="80" w:after="0"/>
      </w:pPr>
      <w:r>
        <w:t xml:space="preserve"/>
      </w:r>
    </w:p>
    <w:p>
      <w:pPr>
        <w:pStyle w:val="Heading3"/>
        <w:spacing w:before="200" w:after="80"/>
      </w:pPr>
      <w:r>
        <w:rPr>
          <w:rFonts w:ascii="Calibri" w:cs="Calibri" w:eastAsia="Calibri" w:hAnsi="Calibri"/>
          <w:b/>
          <w:bCs/>
          <w:color w:val="81A6C6"/>
          <w:sz w:val="23"/>
          <w:szCs w:val="23"/>
        </w:rPr>
        <w:t xml:space="preserve">The specific pains we resolve:</w:t>
      </w:r>
    </w:p>
    <w:p>
      <w:pPr>
        <w:pStyle w:val="ListParagraph"/>
        <w:numPr>
          <w:ilvl w:val="0"/>
          <w:numId w:val="2"/>
        </w:numPr>
        <w:spacing w:before="50" w:after="60"/>
      </w:pPr>
      <w:r>
        <w:rPr>
          <w:rFonts w:ascii="Calibri" w:cs="Calibri" w:eastAsia="Calibri" w:hAnsi="Calibri"/>
          <w:color w:val="333333"/>
          <w:sz w:val="21"/>
          <w:szCs w:val="21"/>
        </w:rPr>
        <w:t xml:space="preserve">Each new robot task = a new domain = fresh data collection needed. There are no transferable generic datasets for manipulation.</w:t>
      </w:r>
    </w:p>
    <w:p>
      <w:pPr>
        <w:pStyle w:val="ListParagraph"/>
        <w:numPr>
          <w:ilvl w:val="0"/>
          <w:numId w:val="2"/>
        </w:numPr>
        <w:spacing w:before="50" w:after="60"/>
      </w:pPr>
      <w:r>
        <w:rPr>
          <w:rFonts w:ascii="Calibri" w:cs="Calibri" w:eastAsia="Calibri" w:hAnsi="Calibri"/>
          <w:color w:val="333333"/>
          <w:sz w:val="21"/>
          <w:szCs w:val="21"/>
        </w:rPr>
        <w:t xml:space="preserve">Annotation turnaround is weeks. By the time data comes back, the task requirements have changed.</w:t>
      </w:r>
    </w:p>
    <w:p>
      <w:pPr>
        <w:pStyle w:val="ListParagraph"/>
        <w:numPr>
          <w:ilvl w:val="0"/>
          <w:numId w:val="2"/>
        </w:numPr>
        <w:spacing w:before="50" w:after="60"/>
      </w:pPr>
      <w:r>
        <w:rPr>
          <w:rFonts w:ascii="Calibri" w:cs="Calibri" w:eastAsia="Calibri" w:hAnsi="Calibri"/>
          <w:color w:val="333333"/>
          <w:sz w:val="21"/>
          <w:szCs w:val="21"/>
        </w:rPr>
        <w:t xml:space="preserve">Sim-to-real gaps caused by generic physics assumptions make existing synthetic tools unreliable without deep expertise.</w:t>
      </w:r>
    </w:p>
    <w:p>
      <w:pPr>
        <w:pStyle w:val="ListParagraph"/>
        <w:numPr>
          <w:ilvl w:val="0"/>
          <w:numId w:val="2"/>
        </w:numPr>
        <w:spacing w:before="50" w:after="60"/>
      </w:pPr>
      <w:r>
        <w:rPr>
          <w:rFonts w:ascii="Calibri" w:cs="Calibri" w:eastAsia="Calibri" w:hAnsi="Calibri"/>
          <w:color w:val="333333"/>
          <w:sz w:val="21"/>
          <w:szCs w:val="21"/>
        </w:rPr>
        <w:t xml:space="preserve">Teams spend 35%+ of project time on data prep before any training begins — blocking model iteration speed.</w:t>
      </w:r>
    </w:p>
    <w:p>
      <w:pPr>
        <w:pStyle w:val="ListParagraph"/>
        <w:numPr>
          <w:ilvl w:val="0"/>
          <w:numId w:val="2"/>
        </w:numPr>
        <w:spacing w:before="50" w:after="60"/>
      </w:pPr>
      <w:r>
        <w:rPr>
          <w:rFonts w:ascii="Calibri" w:cs="Calibri" w:eastAsia="Calibri" w:hAnsi="Calibri"/>
          <w:color w:val="333333"/>
          <w:sz w:val="21"/>
          <w:szCs w:val="21"/>
        </w:rPr>
        <w:t xml:space="preserve">Edge cases cannot be collected in the real world at sufficient volume or safely.</w:t>
      </w:r>
    </w:p>
    <w:p>
      <w:pPr>
        <w:spacing w:before="160" w:after="0"/>
      </w:pPr>
      <w:r>
        <w:t xml:space="preserve"/>
      </w:r>
    </w:p>
    <w:p>
      <w:pPr>
        <w:pStyle w:val="Heading1"/>
        <w:pBdr>
          <w:bottom w:val="single" w:color="FE9EC7" w:sz="8" w:space="4"/>
        </w:pBdr>
        <w:spacing w:before="480" w:after="160"/>
      </w:pPr>
      <w:r>
        <w:rPr>
          <w:rFonts w:ascii="Calibri" w:cs="Calibri" w:eastAsia="Calibri" w:hAnsi="Calibri"/>
          <w:b/>
          <w:bCs/>
          <w:color w:val="0D1520"/>
          <w:sz w:val="38"/>
          <w:szCs w:val="38"/>
        </w:rPr>
        <w:t xml:space="preserve">4. Target Customer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6ECF5" w:sz="4"/>
              <w:left w:val="single" w:color="D6ECF5" w:sz="4"/>
              <w:bottom w:val="single" w:color="D6ECF5" w:sz="4"/>
              <w:right w:val="single" w:color="D6ECF5" w:sz="4"/>
            </w:tcBorders>
            <w:shd w:fill="EAF4FA"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Role</w:t>
            </w:r>
          </w:p>
        </w:tc>
        <w:tc>
          <w:tcPr>
            <w:tcW w:type="dxa" w:w="676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ML Engineer, Perception Engineer, or Head of AI / Robotics</w:t>
            </w:r>
          </w:p>
        </w:tc>
      </w:tr>
      <w:tr>
        <w:tc>
          <w:tcPr>
            <w:tcW w:type="dxa" w:w="2600"/>
            <w:tcBorders>
              <w:top w:val="single" w:color="D6ECF5" w:sz="4"/>
              <w:left w:val="single" w:color="D6ECF5" w:sz="4"/>
              <w:bottom w:val="single" w:color="D6ECF5" w:sz="4"/>
              <w:right w:val="single" w:color="D6ECF5" w:sz="4"/>
            </w:tcBorders>
            <w:shd w:fill="F5FAFE"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Company stage</w:t>
            </w:r>
          </w:p>
        </w:tc>
        <w:tc>
          <w:tcPr>
            <w:tcW w:type="dxa" w:w="6760"/>
            <w:tcBorders>
              <w:top w:val="single" w:color="D6ECF5" w:sz="4"/>
              <w:left w:val="single" w:color="D6ECF5" w:sz="4"/>
              <w:bottom w:val="single" w:color="D6ECF5" w:sz="4"/>
              <w:right w:val="single" w:color="D6ECF5" w:sz="4"/>
            </w:tcBorders>
            <w:shd w:fill="FAFCFE"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Post-Series A/B robotics company — has budget pain, does not yet have a full data platform team</w:t>
            </w:r>
          </w:p>
        </w:tc>
      </w:tr>
      <w:tr>
        <w:tc>
          <w:tcPr>
            <w:tcW w:type="dxa" w:w="2600"/>
            <w:tcBorders>
              <w:top w:val="single" w:color="D6ECF5" w:sz="4"/>
              <w:left w:val="single" w:color="D6ECF5" w:sz="4"/>
              <w:bottom w:val="single" w:color="D6ECF5" w:sz="4"/>
              <w:right w:val="single" w:color="D6ECF5" w:sz="4"/>
            </w:tcBorders>
            <w:shd w:fill="EAF4FA"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Current solution</w:t>
            </w:r>
          </w:p>
        </w:tc>
        <w:tc>
          <w:tcPr>
            <w:tcW w:type="dxa" w:w="676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Outsourcing annotation to Scale AI, iMerit, or CVAT — frustrated with turnaround time and cost</w:t>
            </w:r>
          </w:p>
        </w:tc>
      </w:tr>
      <w:tr>
        <w:tc>
          <w:tcPr>
            <w:tcW w:type="dxa" w:w="2600"/>
            <w:tcBorders>
              <w:top w:val="single" w:color="D6ECF5" w:sz="4"/>
              <w:left w:val="single" w:color="D6ECF5" w:sz="4"/>
              <w:bottom w:val="single" w:color="D6ECF5" w:sz="4"/>
              <w:right w:val="single" w:color="D6ECF5" w:sz="4"/>
            </w:tcBorders>
            <w:shd w:fill="F5FAFE"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Robot type</w:t>
            </w:r>
          </w:p>
        </w:tc>
        <w:tc>
          <w:tcPr>
            <w:tcW w:type="dxa" w:w="6760"/>
            <w:tcBorders>
              <w:top w:val="single" w:color="D6ECF5" w:sz="4"/>
              <w:left w:val="single" w:color="D6ECF5" w:sz="4"/>
              <w:bottom w:val="single" w:color="D6ECF5" w:sz="4"/>
              <w:right w:val="single" w:color="D6ECF5" w:sz="4"/>
            </w:tcBorders>
            <w:shd w:fill="FAFCFE"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Manipulation arms (pick &amp; place, assembly, sorting), AMRs, warehouse automation</w:t>
            </w:r>
          </w:p>
        </w:tc>
      </w:tr>
      <w:tr>
        <w:tc>
          <w:tcPr>
            <w:tcW w:type="dxa" w:w="2600"/>
            <w:tcBorders>
              <w:top w:val="single" w:color="D6ECF5" w:sz="4"/>
              <w:left w:val="single" w:color="D6ECF5" w:sz="4"/>
              <w:bottom w:val="single" w:color="D6ECF5" w:sz="4"/>
              <w:right w:val="single" w:color="D6ECF5" w:sz="4"/>
            </w:tcBorders>
            <w:shd w:fill="EAF4FA"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Key frustration</w:t>
            </w:r>
          </w:p>
        </w:tc>
        <w:tc>
          <w:tcPr>
            <w:tcW w:type="dxa" w:w="676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"We have hours of footage but can't train fast enough. Annotation takes 6 weeks per dataset."</w:t>
            </w:r>
          </w:p>
        </w:tc>
      </w:tr>
      <w:tr>
        <w:tc>
          <w:tcPr>
            <w:tcW w:type="dxa" w:w="2600"/>
            <w:tcBorders>
              <w:top w:val="single" w:color="D6ECF5" w:sz="4"/>
              <w:left w:val="single" w:color="D6ECF5" w:sz="4"/>
              <w:bottom w:val="single" w:color="D6ECF5" w:sz="4"/>
              <w:right w:val="single" w:color="D6ECF5" w:sz="4"/>
            </w:tcBorders>
            <w:shd w:fill="F5FAFE"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Decision trigger</w:t>
            </w:r>
          </w:p>
        </w:tc>
        <w:tc>
          <w:tcPr>
            <w:tcW w:type="dxa" w:w="6760"/>
            <w:tcBorders>
              <w:top w:val="single" w:color="D6ECF5" w:sz="4"/>
              <w:left w:val="single" w:color="D6ECF5" w:sz="4"/>
              <w:bottom w:val="single" w:color="D6ECF5" w:sz="4"/>
              <w:right w:val="single" w:color="D6ECF5" w:sz="4"/>
            </w:tcBorders>
            <w:shd w:fill="FAFCFE"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Starting a new robot task or use case that requires a fresh labelled dataset</w:t>
            </w:r>
          </w:p>
        </w:tc>
      </w:tr>
      <w:tr>
        <w:tc>
          <w:tcPr>
            <w:tcW w:type="dxa" w:w="2600"/>
            <w:tcBorders>
              <w:top w:val="single" w:color="D6ECF5" w:sz="4"/>
              <w:left w:val="single" w:color="D6ECF5" w:sz="4"/>
              <w:bottom w:val="single" w:color="D6ECF5" w:sz="4"/>
              <w:right w:val="single" w:color="D6ECF5" w:sz="4"/>
            </w:tcBorders>
            <w:shd w:fill="EAF4FA"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Target companies</w:t>
            </w:r>
          </w:p>
        </w:tc>
        <w:tc>
          <w:tcPr>
            <w:tcW w:type="dxa" w:w="676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Figure AI, 1X Technologies, Apptronik, Skild AI, Machina Labs, Serve Robotics, Physical Intelligence</w:t>
            </w:r>
          </w:p>
        </w:tc>
      </w:tr>
    </w:tbl>
    <w:p>
      <w:pPr>
        <w:spacing w:before="160" w:after="0"/>
      </w:pPr>
      <w:r>
        <w:t xml:space="preserve"/>
      </w:r>
    </w:p>
    <w:p>
      <w:pPr>
        <w:pStyle w:val="Heading1"/>
        <w:pBdr>
          <w:bottom w:val="single" w:color="FE9EC7" w:sz="8" w:space="4"/>
        </w:pBdr>
        <w:spacing w:before="480" w:after="160"/>
      </w:pPr>
      <w:r>
        <w:rPr>
          <w:rFonts w:ascii="Calibri" w:cs="Calibri" w:eastAsia="Calibri" w:hAnsi="Calibri"/>
          <w:b/>
          <w:bCs/>
          <w:color w:val="0D1520"/>
          <w:sz w:val="38"/>
          <w:szCs w:val="38"/>
        </w:rPr>
        <w:t xml:space="preserve">5. Primary Objection to Address</w:t>
      </w:r>
    </w:p>
    <w:p>
      <w:pPr>
        <w:spacing w:before="60" w:after="100"/>
      </w:pPr>
      <w:r>
        <w:rPr>
          <w:rFonts w:ascii="Calibri" w:cs="Calibri" w:eastAsia="Calibri" w:hAnsi="Calibri"/>
          <w:color w:val="333333"/>
          <w:sz w:val="21"/>
          <w:szCs w:val="21"/>
        </w:rPr>
        <w:t xml:space="preserve">"Synthetic data doesn't match real physics" — this is the single biggest reason ML engineers distrust synthetic data pipelines. Every element of the landing page and product must address this head-on.</w:t>
      </w:r>
    </w:p>
    <w:p>
      <w:pPr>
        <w:spacing w:before="80" w:after="0"/>
      </w:pPr>
      <w:r>
        <w:t xml:space="preserve"/>
      </w:r>
    </w:p>
    <w:p>
      <w:pPr>
        <w:spacing w:before="60" w:after="100"/>
      </w:pPr>
      <w:r>
        <w:rPr>
          <w:rFonts w:ascii="Calibri" w:cs="Calibri" w:eastAsia="Calibri" w:hAnsi="Calibri"/>
          <w:color w:val="333333"/>
          <w:sz w:val="21"/>
          <w:szCs w:val="21"/>
        </w:rPr>
        <w:t xml:space="preserve">Our answer: we extract physics parameters (inertia, friction, joint limits, actuator profiles) from the customer's actual footage — not from generic simulation defaults. The physics model is calibrated to their specific robot in their specific environment. This is the technical moat and the core differentiator from every competitor in the market.</w:t>
      </w:r>
    </w:p>
    <w:p>
      <w:pPr>
        <w:spacing w:before="200" w:after="0"/>
      </w:pPr>
      <w:r>
        <w:t xml:space="preserve"/>
      </w:r>
    </w:p>
    <w:p>
      <w:r>
        <w:br w:type="page"/>
      </w:r>
    </w:p>
    <w:p>
      <w:pPr>
        <w:spacing w:before="800" w:after="120"/>
      </w:pPr>
      <w:r>
        <w:rPr>
          <w:rFonts w:ascii="Calibri" w:cs="Calibri" w:eastAsia="Calibri" w:hAnsi="Calibri"/>
          <w:b/>
          <w:bCs/>
          <w:color w:val="FE9EC7"/>
          <w:sz w:val="26"/>
          <w:szCs w:val="26"/>
        </w:rPr>
        <w:t xml:space="preserve">02</w:t>
      </w:r>
    </w:p>
    <w:p>
      <w:pPr>
        <w:spacing w:before="0" w:after="120"/>
      </w:pPr>
      <w:r>
        <w:rPr>
          <w:rFonts w:ascii="Calibri" w:cs="Calibri" w:eastAsia="Calibri" w:hAnsi="Calibri"/>
          <w:b/>
          <w:bCs/>
          <w:color w:val="0D1520"/>
          <w:sz w:val="58"/>
          <w:szCs w:val="58"/>
        </w:rPr>
        <w:t xml:space="preserve">Brand &amp; Design System</w:t>
      </w:r>
    </w:p>
    <w:p>
      <w:pPr>
        <w:spacing w:before="0" w:after="480"/>
      </w:pPr>
      <w:r>
        <w:rPr>
          <w:rFonts w:ascii="Calibri" w:cs="Calibri" w:eastAsia="Calibri" w:hAnsi="Calibri"/>
          <w:i/>
          <w:iCs/>
          <w:color w:val="5A7A96"/>
          <w:sz w:val="24"/>
          <w:szCs w:val="24"/>
        </w:rPr>
        <w:t xml:space="preserve">Name, palette, typography, tone of voice</w:t>
      </w:r>
    </w:p>
    <w:p>
      <w:pPr>
        <w:pBdr>
          <w:bottom w:val="single" w:color="AACDDC" w:sz="8" w:space="1"/>
        </w:pBdr>
        <w:spacing w:before="0" w:after="0"/>
      </w:pPr>
      <w:r>
        <w:t xml:space="preserve"/>
      </w:r>
    </w:p>
    <w:p>
      <w:pPr>
        <w:pStyle w:val="Heading1"/>
        <w:pBdr>
          <w:bottom w:val="single" w:color="FE9EC7" w:sz="8" w:space="4"/>
        </w:pBdr>
        <w:spacing w:before="480" w:after="160"/>
      </w:pPr>
      <w:r>
        <w:rPr>
          <w:rFonts w:ascii="Calibri" w:cs="Calibri" w:eastAsia="Calibri" w:hAnsi="Calibri"/>
          <w:b/>
          <w:bCs/>
          <w:color w:val="0D1520"/>
          <w:sz w:val="38"/>
          <w:szCs w:val="38"/>
        </w:rPr>
        <w:t xml:space="preserve">6. Name</w:t>
      </w:r>
    </w:p>
    <w:p>
      <w:pPr>
        <w:spacing w:before="60" w:after="100"/>
      </w:pPr>
      <w:r>
        <w:rPr>
          <w:rFonts w:ascii="Calibri" w:cs="Calibri" w:eastAsia="Calibri" w:hAnsi="Calibri"/>
          <w:color w:val="333333"/>
          <w:sz w:val="21"/>
          <w:szCs w:val="21"/>
        </w:rPr>
        <w:t xml:space="preserve">"Imagine Labs" — chosen to evoke the generative, possibility-expanding nature of the product. Works in both technical and business contexts. Avoids the overused "synth / gen / data / forge" naming conventions that saturate the robotics AI tooling space.</w:t>
      </w:r>
    </w:p>
    <w:p>
      <w:pPr>
        <w:spacing w:before="160" w:after="0"/>
      </w:pPr>
      <w:r>
        <w:t xml:space="preserve"/>
      </w:r>
    </w:p>
    <w:p>
      <w:pPr>
        <w:pStyle w:val="Heading1"/>
        <w:pBdr>
          <w:bottom w:val="single" w:color="FE9EC7" w:sz="8" w:space="4"/>
        </w:pBdr>
        <w:spacing w:before="480" w:after="160"/>
      </w:pPr>
      <w:r>
        <w:rPr>
          <w:rFonts w:ascii="Calibri" w:cs="Calibri" w:eastAsia="Calibri" w:hAnsi="Calibri"/>
          <w:b/>
          <w:bCs/>
          <w:color w:val="0D1520"/>
          <w:sz w:val="38"/>
          <w:szCs w:val="38"/>
        </w:rPr>
        <w:t xml:space="preserve">7. Colour Palette</w:t>
      </w:r>
    </w:p>
    <w:p>
      <w:pPr>
        <w:spacing w:before="60" w:after="100"/>
      </w:pPr>
      <w:r>
        <w:rPr>
          <w:rFonts w:ascii="Calibri" w:cs="Calibri" w:eastAsia="Calibri" w:hAnsi="Calibri"/>
          <w:color w:val="333333"/>
          <w:sz w:val="21"/>
          <w:szCs w:val="21"/>
        </w:rPr>
        <w:t xml:space="preserve">Two families — blues for structure and credibility, pink for action — unified on a deep navy base. Greens reserved for positive/success states only. Never use more than two palette colours in the same visual section.</w:t>
      </w:r>
    </w:p>
    <w:p>
      <w:pPr>
        <w:spacing w:before="160" w:after="0"/>
      </w:pPr>
      <w:r>
        <w:t xml:space="preserve"/>
      </w:r>
    </w:p>
    <w:p>
      <w:pPr>
        <w:pStyle w:val="Heading2"/>
        <w:spacing w:before="340" w:after="100"/>
      </w:pPr>
      <w:r>
        <w:rPr>
          <w:rFonts w:ascii="Calibri" w:cs="Calibri" w:eastAsia="Calibri" w:hAnsi="Calibri"/>
          <w:b/>
          <w:bCs/>
          <w:color w:val="162033"/>
          <w:sz w:val="28"/>
          <w:szCs w:val="28"/>
        </w:rPr>
        <w:t xml:space="preserve">Primary — Interaction &amp; Structure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E9EC7" w:val="clear"/>
            <w:tcMar>
              <w:top w:type="dxa" w:w="260"/>
              <w:left w:type="dxa" w:w="60"/>
              <w:bottom w:type="dxa" w:w="260"/>
              <w:right w:type="dxa" w:w="60"/>
            </w:tcMar>
          </w:tcPr>
          <w:p>
            <w:r>
              <w:t xml:space="preserve"/>
            </w:r>
          </w:p>
        </w:tc>
        <w:tc>
          <w:tcPr>
            <w:tcW w:type="dxa" w:w="3120"/>
            <w:tcBorders>
              <w:top w:val="none" w:color="FFFFFF" w:sz="0"/>
              <w:left w:val="none" w:color="FFFFFF" w:sz="0"/>
              <w:bottom w:val="none" w:color="FFFFFF" w:sz="0"/>
              <w:right w:val="none" w:color="FFFFFF" w:sz="0"/>
            </w:tcBorders>
            <w:shd w:fill="81A6C6" w:val="clear"/>
            <w:tcMar>
              <w:top w:type="dxa" w:w="260"/>
              <w:left w:type="dxa" w:w="60"/>
              <w:bottom w:type="dxa" w:w="260"/>
              <w:right w:type="dxa" w:w="60"/>
            </w:tcMar>
          </w:tcPr>
          <w:p>
            <w:r>
              <w:t xml:space="preserve"/>
            </w:r>
          </w:p>
        </w:tc>
        <w:tc>
          <w:tcPr>
            <w:tcW w:type="dxa" w:w="3120"/>
            <w:tcBorders>
              <w:top w:val="none" w:color="FFFFFF" w:sz="0"/>
              <w:left w:val="none" w:color="FFFFFF" w:sz="0"/>
              <w:bottom w:val="none" w:color="FFFFFF" w:sz="0"/>
              <w:right w:val="none" w:color="FFFFFF" w:sz="0"/>
            </w:tcBorders>
            <w:shd w:fill="AACDDC" w:val="clear"/>
            <w:tcMar>
              <w:top w:type="dxa" w:w="260"/>
              <w:left w:type="dxa" w:w="60"/>
              <w:bottom w:type="dxa" w:w="260"/>
              <w:right w:type="dxa" w:w="60"/>
            </w:tcMar>
          </w:tcPr>
          <w:p>
            <w:r>
              <w:t xml:space="preserve"/>
            </w:r>
          </w:p>
        </w:tc>
      </w:tr>
      <w:tr>
        <w:tc>
          <w:tcPr>
            <w:tcW w:type="dxa" w:w="3120"/>
            <w:tcBorders>
              <w:top w:val="none" w:color="FFFFFF" w:sz="0"/>
              <w:left w:val="none" w:color="FFFFFF" w:sz="0"/>
              <w:bottom w:val="none" w:color="FFFFFF" w:sz="0"/>
              <w:right w:val="none" w:color="FFFFFF" w:sz="0"/>
            </w:tcBorders>
            <w:shd w:fill="F8FAFB" w:val="clear"/>
            <w:tcMar>
              <w:top w:type="dxa" w:w="60"/>
              <w:left w:type="dxa" w:w="60"/>
              <w:bottom w:type="dxa" w:w="80"/>
              <w:right w:type="dxa" w:w="60"/>
            </w:tcMar>
          </w:tcPr>
          <w:p>
            <w:pPr>
              <w:jc w:val="center"/>
            </w:pPr>
            <w:r>
              <w:rPr>
                <w:rFonts w:ascii="Calibri" w:cs="Calibri" w:eastAsia="Calibri" w:hAnsi="Calibri"/>
                <w:b/>
                <w:bCs/>
                <w:color w:val="222222"/>
                <w:sz w:val="18"/>
                <w:szCs w:val="18"/>
              </w:rPr>
              <w:t xml:space="preserve">Imagine Pink</w:t>
            </w:r>
          </w:p>
          <w:p>
            <w:pPr>
              <w:jc w:val="center"/>
            </w:pPr>
            <w:r>
              <w:rPr>
                <w:rFonts w:ascii="Courier New" w:cs="Courier New" w:eastAsia="Courier New" w:hAnsi="Courier New"/>
                <w:color w:val="5A7A96"/>
                <w:sz w:val="16"/>
                <w:szCs w:val="16"/>
              </w:rPr>
              <w:t xml:space="preserve">#FE9EC7</w:t>
            </w:r>
          </w:p>
          <w:p>
            <w:pPr>
              <w:jc w:val="center"/>
            </w:pPr>
            <w:r>
              <w:rPr>
                <w:rFonts w:ascii="Calibri" w:cs="Calibri" w:eastAsia="Calibri" w:hAnsi="Calibri"/>
                <w:i/>
                <w:iCs/>
                <w:color w:val="888888"/>
                <w:sz w:val="15"/>
                <w:szCs w:val="15"/>
              </w:rPr>
              <w:t xml:space="preserve">CTAs · Accents · Live indicators · Key headline word</w:t>
            </w:r>
          </w:p>
        </w:tc>
        <w:tc>
          <w:tcPr>
            <w:tcW w:type="dxa" w:w="3120"/>
            <w:tcBorders>
              <w:top w:val="none" w:color="FFFFFF" w:sz="0"/>
              <w:left w:val="none" w:color="FFFFFF" w:sz="0"/>
              <w:bottom w:val="none" w:color="FFFFFF" w:sz="0"/>
              <w:right w:val="none" w:color="FFFFFF" w:sz="0"/>
            </w:tcBorders>
            <w:shd w:fill="F8FAFB" w:val="clear"/>
            <w:tcMar>
              <w:top w:type="dxa" w:w="60"/>
              <w:left w:type="dxa" w:w="60"/>
              <w:bottom w:type="dxa" w:w="80"/>
              <w:right w:type="dxa" w:w="60"/>
            </w:tcMar>
          </w:tcPr>
          <w:p>
            <w:pPr>
              <w:jc w:val="center"/>
            </w:pPr>
            <w:r>
              <w:rPr>
                <w:rFonts w:ascii="Calibri" w:cs="Calibri" w:eastAsia="Calibri" w:hAnsi="Calibri"/>
                <w:b/>
                <w:bCs/>
                <w:color w:val="222222"/>
                <w:sz w:val="18"/>
                <w:szCs w:val="18"/>
              </w:rPr>
              <w:t xml:space="preserve">Steel Blue</w:t>
            </w:r>
          </w:p>
          <w:p>
            <w:pPr>
              <w:jc w:val="center"/>
            </w:pPr>
            <w:r>
              <w:rPr>
                <w:rFonts w:ascii="Courier New" w:cs="Courier New" w:eastAsia="Courier New" w:hAnsi="Courier New"/>
                <w:color w:val="5A7A96"/>
                <w:sz w:val="16"/>
                <w:szCs w:val="16"/>
              </w:rPr>
              <w:t xml:space="preserve">#81A6C6</w:t>
            </w:r>
          </w:p>
          <w:p>
            <w:pPr>
              <w:jc w:val="center"/>
            </w:pPr>
            <w:r>
              <w:rPr>
                <w:rFonts w:ascii="Calibri" w:cs="Calibri" w:eastAsia="Calibri" w:hAnsi="Calibri"/>
                <w:i/>
                <w:iCs/>
                <w:color w:val="888888"/>
                <w:sz w:val="15"/>
                <w:szCs w:val="15"/>
              </w:rPr>
              <w:t xml:space="preserve">Labels · Code text · Supporting copy</w:t>
            </w:r>
          </w:p>
        </w:tc>
        <w:tc>
          <w:tcPr>
            <w:tcW w:type="dxa" w:w="3120"/>
            <w:tcBorders>
              <w:top w:val="none" w:color="FFFFFF" w:sz="0"/>
              <w:left w:val="none" w:color="FFFFFF" w:sz="0"/>
              <w:bottom w:val="none" w:color="FFFFFF" w:sz="0"/>
              <w:right w:val="none" w:color="FFFFFF" w:sz="0"/>
            </w:tcBorders>
            <w:shd w:fill="F8FAFB" w:val="clear"/>
            <w:tcMar>
              <w:top w:type="dxa" w:w="60"/>
              <w:left w:type="dxa" w:w="60"/>
              <w:bottom w:type="dxa" w:w="80"/>
              <w:right w:type="dxa" w:w="60"/>
            </w:tcMar>
          </w:tcPr>
          <w:p>
            <w:pPr>
              <w:jc w:val="center"/>
            </w:pPr>
            <w:r>
              <w:rPr>
                <w:rFonts w:ascii="Calibri" w:cs="Calibri" w:eastAsia="Calibri" w:hAnsi="Calibri"/>
                <w:b/>
                <w:bCs/>
                <w:color w:val="222222"/>
                <w:sz w:val="18"/>
                <w:szCs w:val="18"/>
              </w:rPr>
              <w:t xml:space="preserve">Powder Blue</w:t>
            </w:r>
          </w:p>
          <w:p>
            <w:pPr>
              <w:jc w:val="center"/>
            </w:pPr>
            <w:r>
              <w:rPr>
                <w:rFonts w:ascii="Courier New" w:cs="Courier New" w:eastAsia="Courier New" w:hAnsi="Courier New"/>
                <w:color w:val="5A7A96"/>
                <w:sz w:val="16"/>
                <w:szCs w:val="16"/>
              </w:rPr>
              <w:t xml:space="preserve">#AACDDC</w:t>
            </w:r>
          </w:p>
          <w:p>
            <w:pPr>
              <w:jc w:val="center"/>
            </w:pPr>
            <w:r>
              <w:rPr>
                <w:rFonts w:ascii="Calibri" w:cs="Calibri" w:eastAsia="Calibri" w:hAnsi="Calibri"/>
                <w:i/>
                <w:iCs/>
                <w:color w:val="888888"/>
                <w:sz w:val="15"/>
                <w:szCs w:val="15"/>
              </w:rPr>
              <w:t xml:space="preserve">Sub-headlines · Borders · Metric chips</w:t>
            </w:r>
          </w:p>
        </w:tc>
      </w:tr>
    </w:tbl>
    <w:p>
      <w:pPr>
        <w:spacing w:before="200" w:after="0"/>
      </w:pPr>
      <w:r>
        <w:t xml:space="preserve"/>
      </w:r>
    </w:p>
    <w:p>
      <w:pPr>
        <w:pStyle w:val="Heading2"/>
        <w:spacing w:before="340" w:after="100"/>
      </w:pPr>
      <w:r>
        <w:rPr>
          <w:rFonts w:ascii="Calibri" w:cs="Calibri" w:eastAsia="Calibri" w:hAnsi="Calibri"/>
          <w:b/>
          <w:bCs/>
          <w:color w:val="162033"/>
          <w:sz w:val="28"/>
          <w:szCs w:val="28"/>
        </w:rPr>
        <w:t xml:space="preserve">Secondary — Status &amp; Atmosphere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A2CB8B" w:val="clear"/>
            <w:tcMar>
              <w:top w:type="dxa" w:w="260"/>
              <w:left w:type="dxa" w:w="60"/>
              <w:bottom w:type="dxa" w:w="260"/>
              <w:right w:type="dxa" w:w="60"/>
            </w:tcMar>
          </w:tcPr>
          <w:p>
            <w:r>
              <w:t xml:space="preserve"/>
            </w:r>
          </w:p>
        </w:tc>
        <w:tc>
          <w:tcPr>
            <w:tcW w:type="dxa" w:w="3120"/>
            <w:tcBorders>
              <w:top w:val="none" w:color="FFFFFF" w:sz="0"/>
              <w:left w:val="none" w:color="FFFFFF" w:sz="0"/>
              <w:bottom w:val="none" w:color="FFFFFF" w:sz="0"/>
              <w:right w:val="none" w:color="FFFFFF" w:sz="0"/>
            </w:tcBorders>
            <w:shd w:fill="C7EABB" w:val="clear"/>
            <w:tcMar>
              <w:top w:type="dxa" w:w="260"/>
              <w:left w:type="dxa" w:w="60"/>
              <w:bottom w:type="dxa" w:w="260"/>
              <w:right w:type="dxa" w:w="60"/>
            </w:tcMar>
          </w:tcPr>
          <w:p>
            <w:r>
              <w:t xml:space="preserve"/>
            </w:r>
          </w:p>
        </w:tc>
        <w:tc>
          <w:tcPr>
            <w:tcW w:type="dxa" w:w="3120"/>
            <w:tcBorders>
              <w:top w:val="none" w:color="FFFFFF" w:sz="0"/>
              <w:left w:val="none" w:color="FFFFFF" w:sz="0"/>
              <w:bottom w:val="none" w:color="FFFFFF" w:sz="0"/>
              <w:right w:val="none" w:color="FFFFFF" w:sz="0"/>
            </w:tcBorders>
            <w:shd w:fill="E8F5BD" w:val="clear"/>
            <w:tcMar>
              <w:top w:type="dxa" w:w="260"/>
              <w:left w:type="dxa" w:w="60"/>
              <w:bottom w:type="dxa" w:w="260"/>
              <w:right w:type="dxa" w:w="60"/>
            </w:tcMar>
          </w:tcPr>
          <w:p>
            <w:r>
              <w:t xml:space="preserve"/>
            </w:r>
          </w:p>
        </w:tc>
      </w:tr>
      <w:tr>
        <w:tc>
          <w:tcPr>
            <w:tcW w:type="dxa" w:w="3120"/>
            <w:tcBorders>
              <w:top w:val="none" w:color="FFFFFF" w:sz="0"/>
              <w:left w:val="none" w:color="FFFFFF" w:sz="0"/>
              <w:bottom w:val="none" w:color="FFFFFF" w:sz="0"/>
              <w:right w:val="none" w:color="FFFFFF" w:sz="0"/>
            </w:tcBorders>
            <w:shd w:fill="F8FAFB" w:val="clear"/>
            <w:tcMar>
              <w:top w:type="dxa" w:w="60"/>
              <w:left w:type="dxa" w:w="60"/>
              <w:bottom w:type="dxa" w:w="80"/>
              <w:right w:type="dxa" w:w="60"/>
            </w:tcMar>
          </w:tcPr>
          <w:p>
            <w:pPr>
              <w:jc w:val="center"/>
            </w:pPr>
            <w:r>
              <w:rPr>
                <w:rFonts w:ascii="Calibri" w:cs="Calibri" w:eastAsia="Calibri" w:hAnsi="Calibri"/>
                <w:b/>
                <w:bCs/>
                <w:color w:val="222222"/>
                <w:sz w:val="18"/>
                <w:szCs w:val="18"/>
              </w:rPr>
              <w:t xml:space="preserve">Mint Green</w:t>
            </w:r>
          </w:p>
          <w:p>
            <w:pPr>
              <w:jc w:val="center"/>
            </w:pPr>
            <w:r>
              <w:rPr>
                <w:rFonts w:ascii="Courier New" w:cs="Courier New" w:eastAsia="Courier New" w:hAnsi="Courier New"/>
                <w:color w:val="5A7A96"/>
                <w:sz w:val="16"/>
                <w:szCs w:val="16"/>
              </w:rPr>
              <w:t xml:space="preserve">#A2CB8B</w:t>
            </w:r>
          </w:p>
          <w:p>
            <w:pPr>
              <w:jc w:val="center"/>
            </w:pPr>
            <w:r>
              <w:rPr>
                <w:rFonts w:ascii="Calibri" w:cs="Calibri" w:eastAsia="Calibri" w:hAnsi="Calibri"/>
                <w:i/>
                <w:iCs/>
                <w:color w:val="888888"/>
                <w:sz w:val="15"/>
                <w:szCs w:val="15"/>
              </w:rPr>
              <w:t xml:space="preserve">Success states · Checkmarks · Physics valid ✓</w:t>
            </w:r>
          </w:p>
        </w:tc>
        <w:tc>
          <w:tcPr>
            <w:tcW w:type="dxa" w:w="3120"/>
            <w:tcBorders>
              <w:top w:val="none" w:color="FFFFFF" w:sz="0"/>
              <w:left w:val="none" w:color="FFFFFF" w:sz="0"/>
              <w:bottom w:val="none" w:color="FFFFFF" w:sz="0"/>
              <w:right w:val="none" w:color="FFFFFF" w:sz="0"/>
            </w:tcBorders>
            <w:shd w:fill="F8FAFB" w:val="clear"/>
            <w:tcMar>
              <w:top w:type="dxa" w:w="60"/>
              <w:left w:type="dxa" w:w="60"/>
              <w:bottom w:type="dxa" w:w="80"/>
              <w:right w:type="dxa" w:w="60"/>
            </w:tcMar>
          </w:tcPr>
          <w:p>
            <w:pPr>
              <w:jc w:val="center"/>
            </w:pPr>
            <w:r>
              <w:rPr>
                <w:rFonts w:ascii="Calibri" w:cs="Calibri" w:eastAsia="Calibri" w:hAnsi="Calibri"/>
                <w:b/>
                <w:bCs/>
                <w:color w:val="222222"/>
                <w:sz w:val="18"/>
                <w:szCs w:val="18"/>
              </w:rPr>
              <w:t xml:space="preserve">Pistachio</w:t>
            </w:r>
          </w:p>
          <w:p>
            <w:pPr>
              <w:jc w:val="center"/>
            </w:pPr>
            <w:r>
              <w:rPr>
                <w:rFonts w:ascii="Courier New" w:cs="Courier New" w:eastAsia="Courier New" w:hAnsi="Courier New"/>
                <w:color w:val="5A7A96"/>
                <w:sz w:val="16"/>
                <w:szCs w:val="16"/>
              </w:rPr>
              <w:t xml:space="preserve">#C7EABB</w:t>
            </w:r>
          </w:p>
          <w:p>
            <w:pPr>
              <w:jc w:val="center"/>
            </w:pPr>
            <w:r>
              <w:rPr>
                <w:rFonts w:ascii="Calibri" w:cs="Calibri" w:eastAsia="Calibri" w:hAnsi="Calibri"/>
                <w:i/>
                <w:iCs/>
                <w:color w:val="888888"/>
                <w:sz w:val="15"/>
                <w:szCs w:val="15"/>
              </w:rPr>
              <w:t xml:space="preserve">Positive highlights · Valid output indicators</w:t>
            </w:r>
          </w:p>
        </w:tc>
        <w:tc>
          <w:tcPr>
            <w:tcW w:type="dxa" w:w="3120"/>
            <w:tcBorders>
              <w:top w:val="none" w:color="FFFFFF" w:sz="0"/>
              <w:left w:val="none" w:color="FFFFFF" w:sz="0"/>
              <w:bottom w:val="none" w:color="FFFFFF" w:sz="0"/>
              <w:right w:val="none" w:color="FFFFFF" w:sz="0"/>
            </w:tcBorders>
            <w:shd w:fill="F8FAFB" w:val="clear"/>
            <w:tcMar>
              <w:top w:type="dxa" w:w="60"/>
              <w:left w:type="dxa" w:w="60"/>
              <w:bottom w:type="dxa" w:w="80"/>
              <w:right w:type="dxa" w:w="60"/>
            </w:tcMar>
          </w:tcPr>
          <w:p>
            <w:pPr>
              <w:jc w:val="center"/>
            </w:pPr>
            <w:r>
              <w:rPr>
                <w:rFonts w:ascii="Calibri" w:cs="Calibri" w:eastAsia="Calibri" w:hAnsi="Calibri"/>
                <w:b/>
                <w:bCs/>
                <w:color w:val="222222"/>
                <w:sz w:val="18"/>
                <w:szCs w:val="18"/>
              </w:rPr>
              <w:t xml:space="preserve">Cream Yellow</w:t>
            </w:r>
          </w:p>
          <w:p>
            <w:pPr>
              <w:jc w:val="center"/>
            </w:pPr>
            <w:r>
              <w:rPr>
                <w:rFonts w:ascii="Courier New" w:cs="Courier New" w:eastAsia="Courier New" w:hAnsi="Courier New"/>
                <w:color w:val="5A7A96"/>
                <w:sz w:val="16"/>
                <w:szCs w:val="16"/>
              </w:rPr>
              <w:t xml:space="preserve">#E8F5BD</w:t>
            </w:r>
          </w:p>
          <w:p>
            <w:pPr>
              <w:jc w:val="center"/>
            </w:pPr>
            <w:r>
              <w:rPr>
                <w:rFonts w:ascii="Calibri" w:cs="Calibri" w:eastAsia="Calibri" w:hAnsi="Calibri"/>
                <w:i/>
                <w:iCs/>
                <w:color w:val="888888"/>
                <w:sz w:val="15"/>
                <w:szCs w:val="15"/>
              </w:rPr>
              <w:t xml:space="preserve">Warm hover states · Soft accent moments</w:t>
            </w:r>
          </w:p>
        </w:tc>
      </w:tr>
    </w:tbl>
    <w:p>
      <w:pPr>
        <w:spacing w:before="200" w:after="0"/>
      </w:pPr>
      <w:r>
        <w:t xml:space="preserve"/>
      </w:r>
    </w:p>
    <w:p>
      <w:pPr>
        <w:pStyle w:val="Heading2"/>
        <w:spacing w:before="340" w:after="100"/>
      </w:pPr>
      <w:r>
        <w:rPr>
          <w:rFonts w:ascii="Calibri" w:cs="Calibri" w:eastAsia="Calibri" w:hAnsi="Calibri"/>
          <w:b/>
          <w:bCs/>
          <w:color w:val="162033"/>
          <w:sz w:val="28"/>
          <w:szCs w:val="28"/>
        </w:rPr>
        <w:t xml:space="preserve">Foundation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0D1520" w:val="clear"/>
            <w:tcMar>
              <w:top w:type="dxa" w:w="260"/>
              <w:left w:type="dxa" w:w="60"/>
              <w:bottom w:type="dxa" w:w="260"/>
              <w:right w:type="dxa" w:w="60"/>
            </w:tcMar>
          </w:tcPr>
          <w:p>
            <w:r>
              <w:t xml:space="preserve"/>
            </w:r>
          </w:p>
        </w:tc>
        <w:tc>
          <w:tcPr>
            <w:tcW w:type="dxa" w:w="2340"/>
            <w:tcBorders>
              <w:top w:val="none" w:color="FFFFFF" w:sz="0"/>
              <w:left w:val="none" w:color="FFFFFF" w:sz="0"/>
              <w:bottom w:val="none" w:color="FFFFFF" w:sz="0"/>
              <w:right w:val="none" w:color="FFFFFF" w:sz="0"/>
            </w:tcBorders>
            <w:shd w:fill="162033" w:val="clear"/>
            <w:tcMar>
              <w:top w:type="dxa" w:w="260"/>
              <w:left w:type="dxa" w:w="60"/>
              <w:bottom w:type="dxa" w:w="260"/>
              <w:right w:type="dxa" w:w="60"/>
            </w:tcMar>
          </w:tcPr>
          <w:p>
            <w:r>
              <w:t xml:space="preserve"/>
            </w:r>
          </w:p>
        </w:tc>
        <w:tc>
          <w:tcPr>
            <w:tcW w:type="dxa" w:w="2340"/>
            <w:tcBorders>
              <w:top w:val="none" w:color="FFFFFF" w:sz="0"/>
              <w:left w:val="none" w:color="FFFFFF" w:sz="0"/>
              <w:bottom w:val="none" w:color="FFFFFF" w:sz="0"/>
              <w:right w:val="none" w:color="FFFFFF" w:sz="0"/>
            </w:tcBorders>
            <w:shd w:fill="5A7A96" w:val="clear"/>
            <w:tcMar>
              <w:top w:type="dxa" w:w="260"/>
              <w:left w:type="dxa" w:w="60"/>
              <w:bottom w:type="dxa" w:w="260"/>
              <w:right w:type="dxa" w:w="60"/>
            </w:tcMar>
          </w:tcPr>
          <w:p>
            <w:r>
              <w:t xml:space="preserve"/>
            </w:r>
          </w:p>
        </w:tc>
        <w:tc>
          <w:tcPr>
            <w:tcW w:type="dxa" w:w="2340"/>
            <w:tcBorders>
              <w:top w:val="none" w:color="FFFFFF" w:sz="0"/>
              <w:left w:val="none" w:color="FFFFFF" w:sz="0"/>
              <w:bottom w:val="none" w:color="FFFFFF" w:sz="0"/>
              <w:right w:val="none" w:color="FFFFFF" w:sz="0"/>
            </w:tcBorders>
            <w:shd w:fill="D6ECF5" w:val="clear"/>
            <w:tcMar>
              <w:top w:type="dxa" w:w="260"/>
              <w:left w:type="dxa" w:w="60"/>
              <w:bottom w:type="dxa" w:w="260"/>
              <w:right w:type="dxa" w:w="60"/>
            </w:tcMar>
          </w:tcPr>
          <w:p>
            <w:r>
              <w:t xml:space="preserve"/>
            </w:r>
          </w:p>
        </w:tc>
      </w:tr>
      <w:tr>
        <w:tc>
          <w:tcPr>
            <w:tcW w:type="dxa" w:w="2340"/>
            <w:tcBorders>
              <w:top w:val="none" w:color="FFFFFF" w:sz="0"/>
              <w:left w:val="none" w:color="FFFFFF" w:sz="0"/>
              <w:bottom w:val="none" w:color="FFFFFF" w:sz="0"/>
              <w:right w:val="none" w:color="FFFFFF" w:sz="0"/>
            </w:tcBorders>
            <w:shd w:fill="F8FAFB" w:val="clear"/>
            <w:tcMar>
              <w:top w:type="dxa" w:w="60"/>
              <w:left w:type="dxa" w:w="60"/>
              <w:bottom w:type="dxa" w:w="80"/>
              <w:right w:type="dxa" w:w="60"/>
            </w:tcMar>
          </w:tcPr>
          <w:p>
            <w:pPr>
              <w:jc w:val="center"/>
            </w:pPr>
            <w:r>
              <w:rPr>
                <w:rFonts w:ascii="Calibri" w:cs="Calibri" w:eastAsia="Calibri" w:hAnsi="Calibri"/>
                <w:b/>
                <w:bCs/>
                <w:color w:val="222222"/>
                <w:sz w:val="18"/>
                <w:szCs w:val="18"/>
              </w:rPr>
              <w:t xml:space="preserve">Deep Navy</w:t>
            </w:r>
          </w:p>
          <w:p>
            <w:pPr>
              <w:jc w:val="center"/>
            </w:pPr>
            <w:r>
              <w:rPr>
                <w:rFonts w:ascii="Courier New" w:cs="Courier New" w:eastAsia="Courier New" w:hAnsi="Courier New"/>
                <w:color w:val="5A7A96"/>
                <w:sz w:val="16"/>
                <w:szCs w:val="16"/>
              </w:rPr>
              <w:t xml:space="preserve">#0D1520</w:t>
            </w:r>
          </w:p>
          <w:p>
            <w:pPr>
              <w:jc w:val="center"/>
            </w:pPr>
            <w:r>
              <w:rPr>
                <w:rFonts w:ascii="Calibri" w:cs="Calibri" w:eastAsia="Calibri" w:hAnsi="Calibri"/>
                <w:i/>
                <w:iCs/>
                <w:color w:val="888888"/>
                <w:sz w:val="15"/>
                <w:szCs w:val="15"/>
              </w:rPr>
              <w:t xml:space="preserve">Page background</w:t>
            </w:r>
          </w:p>
        </w:tc>
        <w:tc>
          <w:tcPr>
            <w:tcW w:type="dxa" w:w="2340"/>
            <w:tcBorders>
              <w:top w:val="none" w:color="FFFFFF" w:sz="0"/>
              <w:left w:val="none" w:color="FFFFFF" w:sz="0"/>
              <w:bottom w:val="none" w:color="FFFFFF" w:sz="0"/>
              <w:right w:val="none" w:color="FFFFFF" w:sz="0"/>
            </w:tcBorders>
            <w:shd w:fill="F8FAFB" w:val="clear"/>
            <w:tcMar>
              <w:top w:type="dxa" w:w="60"/>
              <w:left w:type="dxa" w:w="60"/>
              <w:bottom w:type="dxa" w:w="80"/>
              <w:right w:type="dxa" w:w="60"/>
            </w:tcMar>
          </w:tcPr>
          <w:p>
            <w:pPr>
              <w:jc w:val="center"/>
            </w:pPr>
            <w:r>
              <w:rPr>
                <w:rFonts w:ascii="Calibri" w:cs="Calibri" w:eastAsia="Calibri" w:hAnsi="Calibri"/>
                <w:b/>
                <w:bCs/>
                <w:color w:val="222222"/>
                <w:sz w:val="18"/>
                <w:szCs w:val="18"/>
              </w:rPr>
              <w:t xml:space="preserve">Navy Mid</w:t>
            </w:r>
          </w:p>
          <w:p>
            <w:pPr>
              <w:jc w:val="center"/>
            </w:pPr>
            <w:r>
              <w:rPr>
                <w:rFonts w:ascii="Courier New" w:cs="Courier New" w:eastAsia="Courier New" w:hAnsi="Courier New"/>
                <w:color w:val="5A7A96"/>
                <w:sz w:val="16"/>
                <w:szCs w:val="16"/>
              </w:rPr>
              <w:t xml:space="preserve">#162033</w:t>
            </w:r>
          </w:p>
          <w:p>
            <w:pPr>
              <w:jc w:val="center"/>
            </w:pPr>
            <w:r>
              <w:rPr>
                <w:rFonts w:ascii="Calibri" w:cs="Calibri" w:eastAsia="Calibri" w:hAnsi="Calibri"/>
                <w:i/>
                <w:iCs/>
                <w:color w:val="888888"/>
                <w:sz w:val="15"/>
                <w:szCs w:val="15"/>
              </w:rPr>
              <w:t xml:space="preserve">Card + surface backgrounds</w:t>
            </w:r>
          </w:p>
        </w:tc>
        <w:tc>
          <w:tcPr>
            <w:tcW w:type="dxa" w:w="2340"/>
            <w:tcBorders>
              <w:top w:val="none" w:color="FFFFFF" w:sz="0"/>
              <w:left w:val="none" w:color="FFFFFF" w:sz="0"/>
              <w:bottom w:val="none" w:color="FFFFFF" w:sz="0"/>
              <w:right w:val="none" w:color="FFFFFF" w:sz="0"/>
            </w:tcBorders>
            <w:shd w:fill="F8FAFB" w:val="clear"/>
            <w:tcMar>
              <w:top w:type="dxa" w:w="60"/>
              <w:left w:type="dxa" w:w="60"/>
              <w:bottom w:type="dxa" w:w="80"/>
              <w:right w:type="dxa" w:w="60"/>
            </w:tcMar>
          </w:tcPr>
          <w:p>
            <w:pPr>
              <w:jc w:val="center"/>
            </w:pPr>
            <w:r>
              <w:rPr>
                <w:rFonts w:ascii="Calibri" w:cs="Calibri" w:eastAsia="Calibri" w:hAnsi="Calibri"/>
                <w:b/>
                <w:bCs/>
                <w:color w:val="222222"/>
                <w:sz w:val="18"/>
                <w:szCs w:val="18"/>
              </w:rPr>
              <w:t xml:space="preserve">Slate</w:t>
            </w:r>
          </w:p>
          <w:p>
            <w:pPr>
              <w:jc w:val="center"/>
            </w:pPr>
            <w:r>
              <w:rPr>
                <w:rFonts w:ascii="Courier New" w:cs="Courier New" w:eastAsia="Courier New" w:hAnsi="Courier New"/>
                <w:color w:val="5A7A96"/>
                <w:sz w:val="16"/>
                <w:szCs w:val="16"/>
              </w:rPr>
              <w:t xml:space="preserve">#5A7A96</w:t>
            </w:r>
          </w:p>
          <w:p>
            <w:pPr>
              <w:jc w:val="center"/>
            </w:pPr>
            <w:r>
              <w:rPr>
                <w:rFonts w:ascii="Calibri" w:cs="Calibri" w:eastAsia="Calibri" w:hAnsi="Calibri"/>
                <w:i/>
                <w:iCs/>
                <w:color w:val="888888"/>
                <w:sz w:val="15"/>
                <w:szCs w:val="15"/>
              </w:rPr>
              <w:t xml:space="preserve">Muted body text · Supporting copy</w:t>
            </w:r>
          </w:p>
        </w:tc>
        <w:tc>
          <w:tcPr>
            <w:tcW w:type="dxa" w:w="2340"/>
            <w:tcBorders>
              <w:top w:val="none" w:color="FFFFFF" w:sz="0"/>
              <w:left w:val="none" w:color="FFFFFF" w:sz="0"/>
              <w:bottom w:val="none" w:color="FFFFFF" w:sz="0"/>
              <w:right w:val="none" w:color="FFFFFF" w:sz="0"/>
            </w:tcBorders>
            <w:shd w:fill="F8FAFB" w:val="clear"/>
            <w:tcMar>
              <w:top w:type="dxa" w:w="60"/>
              <w:left w:type="dxa" w:w="60"/>
              <w:bottom w:type="dxa" w:w="80"/>
              <w:right w:type="dxa" w:w="60"/>
            </w:tcMar>
          </w:tcPr>
          <w:p>
            <w:pPr>
              <w:jc w:val="center"/>
            </w:pPr>
            <w:r>
              <w:rPr>
                <w:rFonts w:ascii="Calibri" w:cs="Calibri" w:eastAsia="Calibri" w:hAnsi="Calibri"/>
                <w:b/>
                <w:bCs/>
                <w:color w:val="222222"/>
                <w:sz w:val="18"/>
                <w:szCs w:val="18"/>
              </w:rPr>
              <w:t xml:space="preserve">Ice Blue</w:t>
            </w:r>
          </w:p>
          <w:p>
            <w:pPr>
              <w:jc w:val="center"/>
            </w:pPr>
            <w:r>
              <w:rPr>
                <w:rFonts w:ascii="Courier New" w:cs="Courier New" w:eastAsia="Courier New" w:hAnsi="Courier New"/>
                <w:color w:val="5A7A96"/>
                <w:sz w:val="16"/>
                <w:szCs w:val="16"/>
              </w:rPr>
              <w:t xml:space="preserve">#D6ECF5</w:t>
            </w:r>
          </w:p>
          <w:p>
            <w:pPr>
              <w:jc w:val="center"/>
            </w:pPr>
            <w:r>
              <w:rPr>
                <w:rFonts w:ascii="Calibri" w:cs="Calibri" w:eastAsia="Calibri" w:hAnsi="Calibri"/>
                <w:i/>
                <w:iCs/>
                <w:color w:val="888888"/>
                <w:sz w:val="15"/>
                <w:szCs w:val="15"/>
              </w:rPr>
              <w:t xml:space="preserve">Dividers · Subtle borders</w:t>
            </w:r>
          </w:p>
        </w:tc>
      </w:tr>
    </w:tbl>
    <w:p>
      <w:pPr>
        <w:spacing w:before="200" w:after="0"/>
      </w:pPr>
      <w:r>
        <w:t xml:space="preserve"/>
      </w:r>
    </w:p>
    <w:p>
      <w:pPr>
        <w:pStyle w:val="Heading1"/>
        <w:pBdr>
          <w:bottom w:val="single" w:color="FE9EC7" w:sz="8" w:space="4"/>
        </w:pBdr>
        <w:spacing w:before="480" w:after="160"/>
      </w:pPr>
      <w:r>
        <w:rPr>
          <w:rFonts w:ascii="Calibri" w:cs="Calibri" w:eastAsia="Calibri" w:hAnsi="Calibri"/>
          <w:b/>
          <w:bCs/>
          <w:color w:val="0D1520"/>
          <w:sz w:val="38"/>
          <w:szCs w:val="38"/>
        </w:rPr>
        <w:t xml:space="preserve">8. Colour Usage Rules</w:t>
      </w:r>
    </w:p>
    <w:p>
      <w:pPr>
        <w:pStyle w:val="ListParagraph"/>
        <w:numPr>
          <w:ilvl w:val="0"/>
          <w:numId w:val="2"/>
        </w:numPr>
        <w:spacing w:before="50" w:after="60"/>
      </w:pPr>
      <w:r>
        <w:rPr>
          <w:rFonts w:ascii="Calibri" w:cs="Calibri" w:eastAsia="Calibri" w:hAnsi="Calibri"/>
          <w:color w:val="333333"/>
          <w:sz w:val="21"/>
          <w:szCs w:val="21"/>
        </w:rPr>
        <w:t xml:space="preserve">Pink (#FE9EC7) is reserved exclusively for: CTA buttons, live status indicators, and the key output phrase in the H1. Never use for body text, decorative borders, or background fills.</w:t>
      </w:r>
    </w:p>
    <w:p>
      <w:pPr>
        <w:pStyle w:val="ListParagraph"/>
        <w:numPr>
          <w:ilvl w:val="0"/>
          <w:numId w:val="2"/>
        </w:numPr>
        <w:spacing w:before="50" w:after="60"/>
      </w:pPr>
      <w:r>
        <w:rPr>
          <w:rFonts w:ascii="Calibri" w:cs="Calibri" w:eastAsia="Calibri" w:hAnsi="Calibri"/>
          <w:color w:val="333333"/>
          <w:sz w:val="21"/>
          <w:szCs w:val="21"/>
        </w:rPr>
        <w:t xml:space="preserve">Blues (#81A6C6, #AACDDC) handle all structural elements — labels, code blocks, metric values, eyebrow text, supporting copy.</w:t>
      </w:r>
    </w:p>
    <w:p>
      <w:pPr>
        <w:pStyle w:val="ListParagraph"/>
        <w:numPr>
          <w:ilvl w:val="0"/>
          <w:numId w:val="2"/>
        </w:numPr>
        <w:spacing w:before="50" w:after="60"/>
      </w:pPr>
      <w:r>
        <w:rPr>
          <w:rFonts w:ascii="Calibri" w:cs="Calibri" w:eastAsia="Calibri" w:hAnsi="Calibri"/>
          <w:color w:val="333333"/>
          <w:sz w:val="21"/>
          <w:szCs w:val="21"/>
        </w:rPr>
        <w:t xml:space="preserve">Green (#A2CB8B) appears only on success/valid states — checkmarks, physics validity scores, form confirmation messages.</w:t>
      </w:r>
    </w:p>
    <w:p>
      <w:pPr>
        <w:pStyle w:val="ListParagraph"/>
        <w:numPr>
          <w:ilvl w:val="0"/>
          <w:numId w:val="2"/>
        </w:numPr>
        <w:spacing w:before="50" w:after="60"/>
      </w:pPr>
      <w:r>
        <w:rPr>
          <w:rFonts w:ascii="Calibri" w:cs="Calibri" w:eastAsia="Calibri" w:hAnsi="Calibri"/>
          <w:color w:val="333333"/>
          <w:sz w:val="21"/>
          <w:szCs w:val="21"/>
        </w:rPr>
        <w:t xml:space="preserve">Glow orbs: fixed-position radial gradients at 7–9% opacity in pink and blue. These create depth and the "dreamy" atmosphere without visual weight.</w:t>
      </w:r>
    </w:p>
    <w:p>
      <w:pPr>
        <w:pStyle w:val="ListParagraph"/>
        <w:numPr>
          <w:ilvl w:val="0"/>
          <w:numId w:val="2"/>
        </w:numPr>
        <w:spacing w:before="50" w:after="60"/>
      </w:pPr>
      <w:r>
        <w:rPr>
          <w:rFonts w:ascii="Calibri" w:cs="Calibri" w:eastAsia="Calibri" w:hAnsi="Calibri"/>
          <w:color w:val="333333"/>
          <w:sz w:val="21"/>
          <w:szCs w:val="21"/>
        </w:rPr>
        <w:t xml:space="preserve">Dark surfaces use the navy family. Never use a pure black (#000000) background.</w:t>
      </w:r>
    </w:p>
    <w:p>
      <w:pPr>
        <w:pStyle w:val="ListParagraph"/>
        <w:numPr>
          <w:ilvl w:val="0"/>
          <w:numId w:val="2"/>
        </w:numPr>
        <w:spacing w:before="50" w:after="60"/>
      </w:pPr>
      <w:r>
        <w:rPr>
          <w:rFonts w:ascii="Calibri" w:cs="Calibri" w:eastAsia="Calibri" w:hAnsi="Calibri"/>
          <w:color w:val="333333"/>
          <w:sz w:val="21"/>
          <w:szCs w:val="21"/>
        </w:rPr>
        <w:t xml:space="preserve">Avoid placing two palette accent colours adjacent to each other. Pink and blue should not compete — one leads, the other supports.</w:t>
      </w:r>
    </w:p>
    <w:p>
      <w:pPr>
        <w:spacing w:before="160" w:after="0"/>
      </w:pPr>
      <w:r>
        <w:t xml:space="preserve"/>
      </w:r>
    </w:p>
    <w:p>
      <w:pPr>
        <w:pStyle w:val="Heading1"/>
        <w:pBdr>
          <w:bottom w:val="single" w:color="FE9EC7" w:sz="8" w:space="4"/>
        </w:pBdr>
        <w:spacing w:before="480" w:after="160"/>
      </w:pPr>
      <w:r>
        <w:rPr>
          <w:rFonts w:ascii="Calibri" w:cs="Calibri" w:eastAsia="Calibri" w:hAnsi="Calibri"/>
          <w:b/>
          <w:bCs/>
          <w:color w:val="0D1520"/>
          <w:sz w:val="38"/>
          <w:szCs w:val="38"/>
        </w:rPr>
        <w:t xml:space="preserve">9.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6ECF5" w:sz="4"/>
              <w:left w:val="single" w:color="D6ECF5" w:sz="4"/>
              <w:bottom w:val="single" w:color="D6ECF5" w:sz="4"/>
              <w:right w:val="single" w:color="D6ECF5" w:sz="4"/>
            </w:tcBorders>
            <w:shd w:fill="EAF4FA"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Display / Headlines</w:t>
            </w:r>
          </w:p>
        </w:tc>
        <w:tc>
          <w:tcPr>
            <w:tcW w:type="dxa" w:w="676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DM Serif Display — warm, editorial, human. Used for H1 and all hero-level text.</w:t>
            </w:r>
          </w:p>
        </w:tc>
      </w:tr>
      <w:tr>
        <w:tc>
          <w:tcPr>
            <w:tcW w:type="dxa" w:w="2600"/>
            <w:tcBorders>
              <w:top w:val="single" w:color="D6ECF5" w:sz="4"/>
              <w:left w:val="single" w:color="D6ECF5" w:sz="4"/>
              <w:bottom w:val="single" w:color="D6ECF5" w:sz="4"/>
              <w:right w:val="single" w:color="D6ECF5" w:sz="4"/>
            </w:tcBorders>
            <w:shd w:fill="F5FAFE"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Body / UI copy</w:t>
            </w:r>
          </w:p>
        </w:tc>
        <w:tc>
          <w:tcPr>
            <w:tcW w:type="dxa" w:w="6760"/>
            <w:tcBorders>
              <w:top w:val="single" w:color="D6ECF5" w:sz="4"/>
              <w:left w:val="single" w:color="D6ECF5" w:sz="4"/>
              <w:bottom w:val="single" w:color="D6ECF5" w:sz="4"/>
              <w:right w:val="single" w:color="D6ECF5" w:sz="4"/>
            </w:tcBorders>
            <w:shd w:fill="FAFCFE"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DM Sans (weight 300–600) — clean and readable without feeling cold or corporate.</w:t>
            </w:r>
          </w:p>
        </w:tc>
      </w:tr>
      <w:tr>
        <w:tc>
          <w:tcPr>
            <w:tcW w:type="dxa" w:w="2600"/>
            <w:tcBorders>
              <w:top w:val="single" w:color="D6ECF5" w:sz="4"/>
              <w:left w:val="single" w:color="D6ECF5" w:sz="4"/>
              <w:bottom w:val="single" w:color="D6ECF5" w:sz="4"/>
              <w:right w:val="single" w:color="D6ECF5" w:sz="4"/>
            </w:tcBorders>
            <w:shd w:fill="EAF4FA"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Code / Data / Labels</w:t>
            </w:r>
          </w:p>
        </w:tc>
        <w:tc>
          <w:tcPr>
            <w:tcW w:type="dxa" w:w="676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DM Mono — used for pipeline labels, JSON output panels, metric identifiers, eyebrow tags.</w:t>
            </w:r>
          </w:p>
        </w:tc>
      </w:tr>
      <w:tr>
        <w:tc>
          <w:tcPr>
            <w:tcW w:type="dxa" w:w="2600"/>
            <w:tcBorders>
              <w:top w:val="single" w:color="D6ECF5" w:sz="4"/>
              <w:left w:val="single" w:color="D6ECF5" w:sz="4"/>
              <w:bottom w:val="single" w:color="D6ECF5" w:sz="4"/>
              <w:right w:val="single" w:color="D6ECF5" w:sz="4"/>
            </w:tcBorders>
            <w:shd w:fill="F5FAFE"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H1 size</w:t>
            </w:r>
          </w:p>
        </w:tc>
        <w:tc>
          <w:tcPr>
            <w:tcW w:type="dxa" w:w="6760"/>
            <w:tcBorders>
              <w:top w:val="single" w:color="D6ECF5" w:sz="4"/>
              <w:left w:val="single" w:color="D6ECF5" w:sz="4"/>
              <w:bottom w:val="single" w:color="D6ECF5" w:sz="4"/>
              <w:right w:val="single" w:color="D6ECF5" w:sz="4"/>
            </w:tcBorders>
            <w:shd w:fill="FAFCFE"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clamp(44px, 5.5vw, 72px) — fluid, scales across viewports without breaking</w:t>
            </w:r>
          </w:p>
        </w:tc>
      </w:tr>
      <w:tr>
        <w:tc>
          <w:tcPr>
            <w:tcW w:type="dxa" w:w="2600"/>
            <w:tcBorders>
              <w:top w:val="single" w:color="D6ECF5" w:sz="4"/>
              <w:left w:val="single" w:color="D6ECF5" w:sz="4"/>
              <w:bottom w:val="single" w:color="D6ECF5" w:sz="4"/>
              <w:right w:val="single" w:color="D6ECF5" w:sz="4"/>
            </w:tcBorders>
            <w:shd w:fill="EAF4FA"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Body size</w:t>
            </w:r>
          </w:p>
        </w:tc>
        <w:tc>
          <w:tcPr>
            <w:tcW w:type="dxa" w:w="676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16–18px at 1.65–1.7 line height — generous, easy to scan, never cramped</w:t>
            </w:r>
          </w:p>
        </w:tc>
      </w:tr>
      <w:tr>
        <w:tc>
          <w:tcPr>
            <w:tcW w:type="dxa" w:w="2600"/>
            <w:tcBorders>
              <w:top w:val="single" w:color="D6ECF5" w:sz="4"/>
              <w:left w:val="single" w:color="D6ECF5" w:sz="4"/>
              <w:bottom w:val="single" w:color="D6ECF5" w:sz="4"/>
              <w:right w:val="single" w:color="D6ECF5" w:sz="4"/>
            </w:tcBorders>
            <w:shd w:fill="F5FAFE"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Label spacing</w:t>
            </w:r>
          </w:p>
        </w:tc>
        <w:tc>
          <w:tcPr>
            <w:tcW w:type="dxa" w:w="6760"/>
            <w:tcBorders>
              <w:top w:val="single" w:color="D6ECF5" w:sz="4"/>
              <w:left w:val="single" w:color="D6ECF5" w:sz="4"/>
              <w:bottom w:val="single" w:color="D6ECF5" w:sz="4"/>
              <w:right w:val="single" w:color="D6ECF5" w:sz="4"/>
            </w:tcBorders>
            <w:shd w:fill="FAFCFE"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+0.12em letter-spacing on uppercase labels. Tight (−1px) on serif headlines.</w:t>
            </w:r>
          </w:p>
        </w:tc>
      </w:tr>
      <w:tr>
        <w:tc>
          <w:tcPr>
            <w:tcW w:type="dxa" w:w="2600"/>
            <w:tcBorders>
              <w:top w:val="single" w:color="D6ECF5" w:sz="4"/>
              <w:left w:val="single" w:color="D6ECF5" w:sz="4"/>
              <w:bottom w:val="single" w:color="D6ECF5" w:sz="4"/>
              <w:right w:val="single" w:color="D6ECF5" w:sz="4"/>
            </w:tcBorders>
            <w:shd w:fill="EAF4FA"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Font source</w:t>
            </w:r>
          </w:p>
        </w:tc>
        <w:tc>
          <w:tcPr>
            <w:tcW w:type="dxa" w:w="676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Google Fonts CDN — all three faces load from a single link tag</w:t>
            </w:r>
          </w:p>
        </w:tc>
      </w:tr>
    </w:tbl>
    <w:p>
      <w:pPr>
        <w:spacing w:before="160" w:after="0"/>
      </w:pPr>
      <w:r>
        <w:t xml:space="preserve"/>
      </w:r>
    </w:p>
    <w:p>
      <w:pPr>
        <w:pStyle w:val="Heading1"/>
        <w:pBdr>
          <w:bottom w:val="single" w:color="FE9EC7" w:sz="8" w:space="4"/>
        </w:pBdr>
        <w:spacing w:before="480" w:after="160"/>
      </w:pPr>
      <w:r>
        <w:rPr>
          <w:rFonts w:ascii="Calibri" w:cs="Calibri" w:eastAsia="Calibri" w:hAnsi="Calibri"/>
          <w:b/>
          <w:bCs/>
          <w:color w:val="0D1520"/>
          <w:sz w:val="38"/>
          <w:szCs w:val="38"/>
        </w:rPr>
        <w:t xml:space="preserve">10. Voice &amp; Tone</w:t>
      </w:r>
    </w:p>
    <w:p>
      <w:pPr>
        <w:spacing w:before="60" w:after="100"/>
      </w:pPr>
      <w:r>
        <w:rPr>
          <w:rFonts w:ascii="Calibri" w:cs="Calibri" w:eastAsia="Calibri" w:hAnsi="Calibri"/>
          <w:color w:val="333333"/>
          <w:sz w:val="21"/>
          <w:szCs w:val="21"/>
        </w:rPr>
        <w:t xml:space="preserve">Write like a senior engineer who understands the customer's pain personally. Warm and direct. No marketing language, no hedging, no superlatives. Lead with outcomes, back with mechanism.</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6ECF5" w:sz="4"/>
              <w:left w:val="single" w:color="D6ECF5" w:sz="4"/>
              <w:bottom w:val="single" w:color="D6ECF5" w:sz="4"/>
              <w:right w:val="single" w:color="D6ECF5" w:sz="4"/>
            </w:tcBorders>
            <w:shd w:fill="EAF4FA"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  Write this</w:t>
            </w:r>
          </w:p>
        </w:tc>
        <w:tc>
          <w:tcPr>
            <w:tcW w:type="dxa" w:w="676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"Upload your footage. Get 10,000 training scenarios by morning."</w:t>
            </w:r>
          </w:p>
        </w:tc>
      </w:tr>
      <w:tr>
        <w:tc>
          <w:tcPr>
            <w:tcW w:type="dxa" w:w="2600"/>
            <w:tcBorders>
              <w:top w:val="single" w:color="D6ECF5" w:sz="4"/>
              <w:left w:val="single" w:color="D6ECF5" w:sz="4"/>
              <w:bottom w:val="single" w:color="D6ECF5" w:sz="4"/>
              <w:right w:val="single" w:color="D6ECF5" w:sz="4"/>
            </w:tcBorders>
            <w:shd w:fill="F5FAFE"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  Not this</w:t>
            </w:r>
          </w:p>
        </w:tc>
        <w:tc>
          <w:tcPr>
            <w:tcW w:type="dxa" w:w="6760"/>
            <w:tcBorders>
              <w:top w:val="single" w:color="D6ECF5" w:sz="4"/>
              <w:left w:val="single" w:color="D6ECF5" w:sz="4"/>
              <w:bottom w:val="single" w:color="D6ECF5" w:sz="4"/>
              <w:right w:val="single" w:color="D6ECF5" w:sz="4"/>
            </w:tcBorders>
            <w:shd w:fill="FAFCFE"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"Our cutting-edge AI-powered platform leverages synthetic data to accelerate your robotics ML pipeline."</w:t>
            </w:r>
          </w:p>
        </w:tc>
      </w:tr>
      <w:tr>
        <w:tc>
          <w:tcPr>
            <w:tcW w:type="dxa" w:w="2600"/>
            <w:tcBorders>
              <w:top w:val="single" w:color="D6ECF5" w:sz="4"/>
              <w:left w:val="single" w:color="D6ECF5" w:sz="4"/>
              <w:bottom w:val="single" w:color="D6ECF5" w:sz="4"/>
              <w:right w:val="single" w:color="D6ECF5" w:sz="4"/>
            </w:tcBorders>
            <w:shd w:fill="EAF4FA"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  Write this</w:t>
            </w:r>
          </w:p>
        </w:tc>
        <w:tc>
          <w:tcPr>
            <w:tcW w:type="dxa" w:w="676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"No human labelers. No annotation vendors. No waiting."</w:t>
            </w:r>
          </w:p>
        </w:tc>
      </w:tr>
      <w:tr>
        <w:tc>
          <w:tcPr>
            <w:tcW w:type="dxa" w:w="2600"/>
            <w:tcBorders>
              <w:top w:val="single" w:color="D6ECF5" w:sz="4"/>
              <w:left w:val="single" w:color="D6ECF5" w:sz="4"/>
              <w:bottom w:val="single" w:color="D6ECF5" w:sz="4"/>
              <w:right w:val="single" w:color="D6ECF5" w:sz="4"/>
            </w:tcBorders>
            <w:shd w:fill="F5FAFE"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  Not this</w:t>
            </w:r>
          </w:p>
        </w:tc>
        <w:tc>
          <w:tcPr>
            <w:tcW w:type="dxa" w:w="6760"/>
            <w:tcBorders>
              <w:top w:val="single" w:color="D6ECF5" w:sz="4"/>
              <w:left w:val="single" w:color="D6ECF5" w:sz="4"/>
              <w:bottom w:val="single" w:color="D6ECF5" w:sz="4"/>
              <w:right w:val="single" w:color="D6ECF5" w:sz="4"/>
            </w:tcBorders>
            <w:shd w:fill="FAFCFE"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"Dramatically reduce your reliance on costly and time-consuming manual annotation processes."</w:t>
            </w:r>
          </w:p>
        </w:tc>
      </w:tr>
      <w:tr>
        <w:tc>
          <w:tcPr>
            <w:tcW w:type="dxa" w:w="2600"/>
            <w:tcBorders>
              <w:top w:val="single" w:color="D6ECF5" w:sz="4"/>
              <w:left w:val="single" w:color="D6ECF5" w:sz="4"/>
              <w:bottom w:val="single" w:color="D6ECF5" w:sz="4"/>
              <w:right w:val="single" w:color="D6ECF5" w:sz="4"/>
            </w:tcBorders>
            <w:shd w:fill="EAF4FA"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  Write this</w:t>
            </w:r>
          </w:p>
        </w:tc>
        <w:tc>
          <w:tcPr>
            <w:tcW w:type="dxa" w:w="676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"We calibrate physics to your robot — not generic simulation defaults."</w:t>
            </w:r>
          </w:p>
        </w:tc>
      </w:tr>
      <w:tr>
        <w:tc>
          <w:tcPr>
            <w:tcW w:type="dxa" w:w="2600"/>
            <w:tcBorders>
              <w:top w:val="single" w:color="D6ECF5" w:sz="4"/>
              <w:left w:val="single" w:color="D6ECF5" w:sz="4"/>
              <w:bottom w:val="single" w:color="D6ECF5" w:sz="4"/>
              <w:right w:val="single" w:color="D6ECF5" w:sz="4"/>
            </w:tcBorders>
            <w:shd w:fill="F5FAFE"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  Not this</w:t>
            </w:r>
          </w:p>
        </w:tc>
        <w:tc>
          <w:tcPr>
            <w:tcW w:type="dxa" w:w="6760"/>
            <w:tcBorders>
              <w:top w:val="single" w:color="D6ECF5" w:sz="4"/>
              <w:left w:val="single" w:color="D6ECF5" w:sz="4"/>
              <w:bottom w:val="single" w:color="D6ECF5" w:sz="4"/>
              <w:right w:val="single" w:color="D6ECF5" w:sz="4"/>
            </w:tcBorders>
            <w:shd w:fill="FAFCFE"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"Our proprietary physics engine ensures industry-leading simulation fidelity."</w:t>
            </w:r>
          </w:p>
        </w:tc>
      </w:tr>
      <w:tr>
        <w:tc>
          <w:tcPr>
            <w:tcW w:type="dxa" w:w="2600"/>
            <w:tcBorders>
              <w:top w:val="single" w:color="D6ECF5" w:sz="4"/>
              <w:left w:val="single" w:color="D6ECF5" w:sz="4"/>
              <w:bottom w:val="single" w:color="D6ECF5" w:sz="4"/>
              <w:right w:val="single" w:color="D6ECF5" w:sz="4"/>
            </w:tcBorders>
            <w:shd w:fill="EAF4FA"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  Write this</w:t>
            </w:r>
          </w:p>
        </w:tc>
        <w:tc>
          <w:tcPr>
            <w:tcW w:type="dxa" w:w="676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"Synthetic data doesn't match real physics. Here's exactly why ours does."</w:t>
            </w:r>
          </w:p>
        </w:tc>
      </w:tr>
      <w:tr>
        <w:tc>
          <w:tcPr>
            <w:tcW w:type="dxa" w:w="2600"/>
            <w:tcBorders>
              <w:top w:val="single" w:color="D6ECF5" w:sz="4"/>
              <w:left w:val="single" w:color="D6ECF5" w:sz="4"/>
              <w:bottom w:val="single" w:color="D6ECF5" w:sz="4"/>
              <w:right w:val="single" w:color="D6ECF5" w:sz="4"/>
            </w:tcBorders>
            <w:shd w:fill="F5FAFE"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  Not this</w:t>
            </w:r>
          </w:p>
        </w:tc>
        <w:tc>
          <w:tcPr>
            <w:tcW w:type="dxa" w:w="6760"/>
            <w:tcBorders>
              <w:top w:val="single" w:color="D6ECF5" w:sz="4"/>
              <w:left w:val="single" w:color="D6ECF5" w:sz="4"/>
              <w:bottom w:val="single" w:color="D6ECF5" w:sz="4"/>
              <w:right w:val="single" w:color="D6ECF5" w:sz="4"/>
            </w:tcBorders>
            <w:shd w:fill="FAFCFE"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"Our advanced technology addresses common concerns around synthetic data quality."</w:t>
            </w:r>
          </w:p>
        </w:tc>
      </w:tr>
    </w:tbl>
    <w:p>
      <w:pPr>
        <w:spacing w:before="200" w:after="0"/>
      </w:pPr>
      <w:r>
        <w:t xml:space="preserve"/>
      </w:r>
    </w:p>
    <w:p>
      <w:r>
        <w:br w:type="page"/>
      </w:r>
    </w:p>
    <w:p>
      <w:pPr>
        <w:spacing w:before="800" w:after="120"/>
      </w:pPr>
      <w:r>
        <w:rPr>
          <w:rFonts w:ascii="Calibri" w:cs="Calibri" w:eastAsia="Calibri" w:hAnsi="Calibri"/>
          <w:b/>
          <w:bCs/>
          <w:color w:val="FE9EC7"/>
          <w:sz w:val="26"/>
          <w:szCs w:val="26"/>
        </w:rPr>
        <w:t xml:space="preserve">03</w:t>
      </w:r>
    </w:p>
    <w:p>
      <w:pPr>
        <w:spacing w:before="0" w:after="120"/>
      </w:pPr>
      <w:r>
        <w:rPr>
          <w:rFonts w:ascii="Calibri" w:cs="Calibri" w:eastAsia="Calibri" w:hAnsi="Calibri"/>
          <w:b/>
          <w:bCs/>
          <w:color w:val="0D1520"/>
          <w:sz w:val="58"/>
          <w:szCs w:val="58"/>
        </w:rPr>
        <w:t xml:space="preserve">Landing Page Spec</w:t>
      </w:r>
    </w:p>
    <w:p>
      <w:pPr>
        <w:spacing w:before="0" w:after="480"/>
      </w:pPr>
      <w:r>
        <w:rPr>
          <w:rFonts w:ascii="Calibri" w:cs="Calibri" w:eastAsia="Calibri" w:hAnsi="Calibri"/>
          <w:i/>
          <w:iCs/>
          <w:color w:val="5A7A96"/>
          <w:sz w:val="24"/>
          <w:szCs w:val="24"/>
        </w:rPr>
        <w:t xml:space="preserve">Every section — what goes in it, where, and why</w:t>
      </w:r>
    </w:p>
    <w:p>
      <w:pPr>
        <w:pBdr>
          <w:bottom w:val="single" w:color="AACDDC" w:sz="8" w:space="1"/>
        </w:pBdr>
        <w:spacing w:before="0" w:after="0"/>
      </w:pPr>
      <w:r>
        <w:t xml:space="preserve"/>
      </w:r>
    </w:p>
    <w:p>
      <w:pPr>
        <w:pStyle w:val="Heading1"/>
        <w:pBdr>
          <w:bottom w:val="single" w:color="FE9EC7" w:sz="8" w:space="4"/>
        </w:pBdr>
        <w:spacing w:before="480" w:after="160"/>
      </w:pPr>
      <w:r>
        <w:rPr>
          <w:rFonts w:ascii="Calibri" w:cs="Calibri" w:eastAsia="Calibri" w:hAnsi="Calibri"/>
          <w:b/>
          <w:bCs/>
          <w:color w:val="0D1520"/>
          <w:sz w:val="38"/>
          <w:szCs w:val="38"/>
        </w:rPr>
        <w:t xml:space="preserve">11. Core Design Principles</w:t>
      </w:r>
    </w:p>
    <w:p>
      <w:pPr>
        <w:spacing w:before="60" w:after="100"/>
      </w:pPr>
      <w:r>
        <w:rPr>
          <w:rFonts w:ascii="Calibri" w:cs="Calibri" w:eastAsia="Calibri" w:hAnsi="Calibri"/>
          <w:color w:val="333333"/>
          <w:sz w:val="21"/>
          <w:szCs w:val="21"/>
        </w:rPr>
        <w:t xml:space="preserve">The page has one job: get an email from the right person within 10 seconds of arrival. Every element either serves that goal or gets removed.</w:t>
      </w:r>
    </w:p>
    <w:p>
      <w:pPr>
        <w:spacing w:before="80" w:after="0"/>
      </w:pPr>
      <w:r>
        <w:t xml:space="preserve"/>
      </w:r>
    </w:p>
    <w:p>
      <w:pPr>
        <w:pStyle w:val="ListParagraph"/>
        <w:numPr>
          <w:ilvl w:val="0"/>
          <w:numId w:val="2"/>
        </w:numPr>
        <w:spacing w:before="50" w:after="60"/>
      </w:pPr>
      <w:r>
        <w:rPr>
          <w:rFonts w:ascii="Calibri" w:cs="Calibri" w:eastAsia="Calibri" w:hAnsi="Calibri"/>
          <w:color w:val="333333"/>
          <w:sz w:val="21"/>
          <w:szCs w:val="21"/>
        </w:rPr>
        <w:t xml:space="preserve">10-second rule: the hero H1 must communicate the full product without reading a single supporting line of copy.</w:t>
      </w:r>
    </w:p>
    <w:p>
      <w:pPr>
        <w:pStyle w:val="ListParagraph"/>
        <w:numPr>
          <w:ilvl w:val="0"/>
          <w:numId w:val="2"/>
        </w:numPr>
        <w:spacing w:before="50" w:after="60"/>
      </w:pPr>
      <w:r>
        <w:rPr>
          <w:rFonts w:ascii="Calibri" w:cs="Calibri" w:eastAsia="Calibri" w:hAnsi="Calibri"/>
          <w:color w:val="333333"/>
          <w:sz w:val="21"/>
          <w:szCs w:val="21"/>
        </w:rPr>
        <w:t xml:space="preserve">Dreamy, lightweight aesthetic — soft radial glows, generous whitespace, no hard edges, no visual clutter. Feels like a tool you want to use, not a wall of enterprise marketing.</w:t>
      </w:r>
    </w:p>
    <w:p>
      <w:pPr>
        <w:pStyle w:val="ListParagraph"/>
        <w:numPr>
          <w:ilvl w:val="0"/>
          <w:numId w:val="2"/>
        </w:numPr>
        <w:spacing w:before="50" w:after="60"/>
      </w:pPr>
      <w:r>
        <w:rPr>
          <w:rFonts w:ascii="Calibri" w:cs="Calibri" w:eastAsia="Calibri" w:hAnsi="Calibri"/>
          <w:color w:val="333333"/>
          <w:sz w:val="21"/>
          <w:szCs w:val="21"/>
        </w:rPr>
        <w:t xml:space="preserve">Pink is the only element that shouts. Everything else whispers.</w:t>
      </w:r>
    </w:p>
    <w:p>
      <w:pPr>
        <w:pStyle w:val="ListParagraph"/>
        <w:numPr>
          <w:ilvl w:val="0"/>
          <w:numId w:val="2"/>
        </w:numPr>
        <w:spacing w:before="50" w:after="60"/>
      </w:pPr>
      <w:r>
        <w:rPr>
          <w:rFonts w:ascii="Calibri" w:cs="Calibri" w:eastAsia="Calibri" w:hAnsi="Calibri"/>
          <w:color w:val="333333"/>
          <w:sz w:val="21"/>
          <w:szCs w:val="21"/>
        </w:rPr>
        <w:t xml:space="preserve">No pricing, no feature matrices, no architecture diagrams — those are for the discovery call. The page earns attention; the call closes conviction.</w:t>
      </w:r>
    </w:p>
    <w:p>
      <w:pPr>
        <w:pStyle w:val="ListParagraph"/>
        <w:numPr>
          <w:ilvl w:val="0"/>
          <w:numId w:val="2"/>
        </w:numPr>
        <w:spacing w:before="50" w:after="60"/>
      </w:pPr>
      <w:r>
        <w:rPr>
          <w:rFonts w:ascii="Calibri" w:cs="Calibri" w:eastAsia="Calibri" w:hAnsi="Calibri"/>
          <w:color w:val="333333"/>
          <w:sz w:val="21"/>
          <w:szCs w:val="21"/>
        </w:rPr>
        <w:t xml:space="preserve">The live pipeline widget on the right side of the hero (desktop only) makes the product feel real before it exists.</w:t>
      </w:r>
    </w:p>
    <w:p>
      <w:pPr>
        <w:pStyle w:val="ListParagraph"/>
        <w:numPr>
          <w:ilvl w:val="0"/>
          <w:numId w:val="2"/>
        </w:numPr>
        <w:spacing w:before="50" w:after="60"/>
      </w:pPr>
      <w:r>
        <w:rPr>
          <w:rFonts w:ascii="Calibri" w:cs="Calibri" w:eastAsia="Calibri" w:hAnsi="Calibri"/>
          <w:color w:val="333333"/>
          <w:sz w:val="21"/>
          <w:szCs w:val="21"/>
        </w:rPr>
        <w:t xml:space="preserve">Mobile: hero headline, sub-copy, and CTA button must all be fully visible without scrolling on a 390px screen.</w:t>
      </w:r>
    </w:p>
    <w:p>
      <w:pPr>
        <w:spacing w:before="160" w:after="0"/>
      </w:pPr>
      <w:r>
        <w:t xml:space="preserve"/>
      </w:r>
    </w:p>
    <w:p>
      <w:pPr>
        <w:pStyle w:val="Heading1"/>
        <w:pBdr>
          <w:bottom w:val="single" w:color="FE9EC7" w:sz="8" w:space="4"/>
        </w:pBdr>
        <w:spacing w:before="480" w:after="160"/>
      </w:pPr>
      <w:r>
        <w:rPr>
          <w:rFonts w:ascii="Calibri" w:cs="Calibri" w:eastAsia="Calibri" w:hAnsi="Calibri"/>
          <w:b/>
          <w:bCs/>
          <w:color w:val="0D1520"/>
          <w:sz w:val="38"/>
          <w:szCs w:val="38"/>
        </w:rPr>
        <w:t xml:space="preserve">12. Section-by-Section Specification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960"/>
        <w:gridCol w:w="2700"/>
        <w:gridCol w:w="2700"/>
      </w:tblGrid>
      <w:tr>
        <w:tc>
          <w:tcPr>
            <w:tcW w:type="dxa" w:w="1000"/>
            <w:tcBorders>
              <w:top w:val="single" w:color="81A6C6" w:sz="4"/>
              <w:left w:val="single" w:color="81A6C6" w:sz="4"/>
              <w:bottom w:val="single" w:color="81A6C6" w:sz="4"/>
              <w:right w:val="single" w:color="81A6C6" w:sz="4"/>
            </w:tcBorders>
            <w:shd w:fill="0D1520" w:val="clear"/>
            <w:tcMar>
              <w:top w:type="dxa" w:w="80"/>
              <w:left w:type="dxa" w:w="110"/>
              <w:bottom w:type="dxa" w:w="80"/>
              <w:right w:type="dxa" w:w="110"/>
            </w:tcMar>
          </w:tcPr>
          <w:p>
            <w:r>
              <w:rPr>
                <w:rFonts w:ascii="Calibri" w:cs="Calibri" w:eastAsia="Calibri" w:hAnsi="Calibri"/>
                <w:b/>
                <w:bCs/>
                <w:color w:val="AACDDC"/>
                <w:sz w:val="19"/>
                <w:szCs w:val="19"/>
              </w:rPr>
              <w:t xml:space="preserve">Section</w:t>
            </w:r>
          </w:p>
        </w:tc>
        <w:tc>
          <w:tcPr>
            <w:tcW w:type="dxa" w:w="2960"/>
            <w:tcBorders>
              <w:top w:val="single" w:color="81A6C6" w:sz="4"/>
              <w:left w:val="single" w:color="81A6C6" w:sz="4"/>
              <w:bottom w:val="single" w:color="81A6C6" w:sz="4"/>
              <w:right w:val="single" w:color="81A6C6" w:sz="4"/>
            </w:tcBorders>
            <w:shd w:fill="0D1520" w:val="clear"/>
            <w:tcMar>
              <w:top w:type="dxa" w:w="80"/>
              <w:left w:type="dxa" w:w="110"/>
              <w:bottom w:type="dxa" w:w="80"/>
              <w:right w:type="dxa" w:w="110"/>
            </w:tcMar>
          </w:tcPr>
          <w:p>
            <w:r>
              <w:rPr>
                <w:rFonts w:ascii="Calibri" w:cs="Calibri" w:eastAsia="Calibri" w:hAnsi="Calibri"/>
                <w:b/>
                <w:bCs/>
                <w:color w:val="AACDDC"/>
                <w:sz w:val="19"/>
                <w:szCs w:val="19"/>
              </w:rPr>
              <w:t xml:space="preserve">What Goes In</w:t>
            </w:r>
          </w:p>
        </w:tc>
        <w:tc>
          <w:tcPr>
            <w:tcW w:type="dxa" w:w="2700"/>
            <w:tcBorders>
              <w:top w:val="single" w:color="81A6C6" w:sz="4"/>
              <w:left w:val="single" w:color="81A6C6" w:sz="4"/>
              <w:bottom w:val="single" w:color="81A6C6" w:sz="4"/>
              <w:right w:val="single" w:color="81A6C6" w:sz="4"/>
            </w:tcBorders>
            <w:shd w:fill="0D1520" w:val="clear"/>
            <w:tcMar>
              <w:top w:type="dxa" w:w="80"/>
              <w:left w:type="dxa" w:w="110"/>
              <w:bottom w:type="dxa" w:w="80"/>
              <w:right w:type="dxa" w:w="110"/>
            </w:tcMar>
          </w:tcPr>
          <w:p>
            <w:r>
              <w:rPr>
                <w:rFonts w:ascii="Calibri" w:cs="Calibri" w:eastAsia="Calibri" w:hAnsi="Calibri"/>
                <w:b/>
                <w:bCs/>
                <w:color w:val="AACDDC"/>
                <w:sz w:val="19"/>
                <w:szCs w:val="19"/>
              </w:rPr>
              <w:t xml:space="preserve">Design Direction</w:t>
            </w:r>
          </w:p>
        </w:tc>
        <w:tc>
          <w:tcPr>
            <w:tcW w:type="dxa" w:w="2700"/>
            <w:tcBorders>
              <w:top w:val="single" w:color="81A6C6" w:sz="4"/>
              <w:left w:val="single" w:color="81A6C6" w:sz="4"/>
              <w:bottom w:val="single" w:color="81A6C6" w:sz="4"/>
              <w:right w:val="single" w:color="81A6C6" w:sz="4"/>
            </w:tcBorders>
            <w:shd w:fill="0D1520" w:val="clear"/>
            <w:tcMar>
              <w:top w:type="dxa" w:w="80"/>
              <w:left w:type="dxa" w:w="110"/>
              <w:bottom w:type="dxa" w:w="80"/>
              <w:right w:type="dxa" w:w="110"/>
            </w:tcMar>
          </w:tcPr>
          <w:p>
            <w:r>
              <w:rPr>
                <w:rFonts w:ascii="Calibri" w:cs="Calibri" w:eastAsia="Calibri" w:hAnsi="Calibri"/>
                <w:b/>
                <w:bCs/>
                <w:color w:val="AACDDC"/>
                <w:sz w:val="19"/>
                <w:szCs w:val="19"/>
              </w:rPr>
              <w:t xml:space="preserve">Why It's There</w:t>
            </w:r>
          </w:p>
        </w:tc>
      </w:tr>
      <w:tr>
        <w:tc>
          <w:tcPr>
            <w:tcW w:type="dxa" w:w="1000"/>
            <w:tcBorders>
              <w:top w:val="single" w:color="D6ECF5" w:sz="4"/>
              <w:left w:val="single" w:color="D6ECF5" w:sz="4"/>
              <w:bottom w:val="single" w:color="D6ECF5" w:sz="4"/>
              <w:right w:val="single" w:color="D6ECF5" w:sz="4"/>
            </w:tcBorders>
            <w:shd w:fill="EAF4FA" w:val="clear"/>
            <w:tcMar>
              <w:top w:type="dxa" w:w="80"/>
              <w:left w:type="dxa" w:w="110"/>
              <w:bottom w:type="dxa" w:w="80"/>
              <w:right w:type="dxa" w:w="110"/>
            </w:tcMar>
          </w:tcPr>
          <w:p>
            <w:r>
              <w:rPr>
                <w:rFonts w:ascii="Calibri" w:cs="Calibri" w:eastAsia="Calibri" w:hAnsi="Calibri"/>
                <w:b/>
                <w:bCs/>
                <w:i w:val="false"/>
                <w:iCs w:val="false"/>
                <w:color w:val="FE9EC7"/>
                <w:sz w:val="19"/>
                <w:szCs w:val="19"/>
              </w:rPr>
              <w:t xml:space="preserve">NAV</w:t>
            </w:r>
          </w:p>
        </w:tc>
        <w:tc>
          <w:tcPr>
            <w:tcW w:type="dxa" w:w="2960"/>
            <w:tcBorders>
              <w:top w:val="single" w:color="D6ECF5" w:sz="4"/>
              <w:left w:val="single" w:color="D6ECF5" w:sz="4"/>
              <w:bottom w:val="single" w:color="D6ECF5" w:sz="4"/>
              <w:right w:val="single" w:color="D6ECF5" w:sz="4"/>
            </w:tcBorders>
            <w:shd w:fill="FAFCFE"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Logo (✦ Imagine Labs) · Ghost nav links (Problem / How it works / Why it works) · One pink CTA: "Apply for Free Pilot"</w:t>
            </w:r>
          </w:p>
        </w:tc>
        <w:tc>
          <w:tcPr>
            <w:tcW w:type="dxa" w:w="2700"/>
            <w:tcBorders>
              <w:top w:val="single" w:color="D6ECF5" w:sz="4"/>
              <w:left w:val="single" w:color="D6ECF5" w:sz="4"/>
              <w:bottom w:val="single" w:color="D6ECF5" w:sz="4"/>
              <w:right w:val="single" w:color="D6ECF5" w:sz="4"/>
            </w:tcBorders>
            <w:shd w:fill="F8FAFB"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Sticky. Semi-transparent navy bg, blur backdrop. Zero decoration. The pink button is the only element that demands attention.</w:t>
            </w:r>
          </w:p>
        </w:tc>
        <w:tc>
          <w:tcPr>
            <w:tcW w:type="dxa" w:w="2700"/>
            <w:tcBorders>
              <w:top w:val="single" w:color="D6ECF5" w:sz="4"/>
              <w:left w:val="single" w:color="D6ECF5" w:sz="4"/>
              <w:bottom w:val="single" w:color="D6ECF5" w:sz="4"/>
              <w:right w:val="single" w:color="D6ECF5" w:sz="4"/>
            </w:tcBorders>
            <w:shd w:fill="F5FAFE" w:val="clear"/>
            <w:tcMar>
              <w:top w:type="dxa" w:w="80"/>
              <w:left w:type="dxa" w:w="110"/>
              <w:bottom w:type="dxa" w:w="80"/>
              <w:right w:type="dxa" w:w="110"/>
            </w:tcMar>
          </w:tcPr>
          <w:p>
            <w:r>
              <w:rPr>
                <w:rFonts w:ascii="Calibri" w:cs="Calibri" w:eastAsia="Calibri" w:hAnsi="Calibri"/>
                <w:b w:val="false"/>
                <w:bCs w:val="false"/>
                <w:i/>
                <w:iCs/>
                <w:color w:val="5A7A96"/>
                <w:sz w:val="20"/>
                <w:szCs w:val="20"/>
              </w:rPr>
              <w:t xml:space="preserve">Gives orientation and a conversion escape hatch at all times. Ghost links are for credibility, not navigation.</w:t>
            </w:r>
          </w:p>
        </w:tc>
      </w:tr>
      <w:tr>
        <w:tc>
          <w:tcPr>
            <w:tcW w:type="dxa" w:w="1000"/>
            <w:tcBorders>
              <w:top w:val="single" w:color="D6ECF5" w:sz="4"/>
              <w:left w:val="single" w:color="D6ECF5" w:sz="4"/>
              <w:bottom w:val="single" w:color="D6ECF5" w:sz="4"/>
              <w:right w:val="single" w:color="D6ECF5" w:sz="4"/>
            </w:tcBorders>
            <w:shd w:fill="F5FAFE" w:val="clear"/>
            <w:tcMar>
              <w:top w:type="dxa" w:w="80"/>
              <w:left w:type="dxa" w:w="110"/>
              <w:bottom w:type="dxa" w:w="80"/>
              <w:right w:type="dxa" w:w="110"/>
            </w:tcMar>
          </w:tcPr>
          <w:p>
            <w:r>
              <w:rPr>
                <w:rFonts w:ascii="Calibri" w:cs="Calibri" w:eastAsia="Calibri" w:hAnsi="Calibri"/>
                <w:b/>
                <w:bCs/>
                <w:i w:val="false"/>
                <w:iCs w:val="false"/>
                <w:color w:val="FE9EC7"/>
                <w:sz w:val="19"/>
                <w:szCs w:val="19"/>
              </w:rPr>
              <w:t xml:space="preserve">HERO</w:t>
            </w:r>
          </w:p>
        </w:tc>
        <w:tc>
          <w:tcPr>
            <w:tcW w:type="dxa" w:w="296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Eyebrow pill with animated pink dot · H1 (3 short lines) · One-sentence sub · Email + CTA button · Waitlist counter · Live pipeline widget (desktop right column)</w:t>
            </w:r>
          </w:p>
        </w:tc>
        <w:tc>
          <w:tcPr>
            <w:tcW w:type="dxa" w:w="2700"/>
            <w:tcBorders>
              <w:top w:val="single" w:color="D6ECF5" w:sz="4"/>
              <w:left w:val="single" w:color="D6ECF5" w:sz="4"/>
              <w:bottom w:val="single" w:color="D6ECF5" w:sz="4"/>
              <w:right w:val="single" w:color="D6ECF5" w:sz="4"/>
            </w:tcBorders>
            <w:shd w:fill="FEFE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Dreamy radial glows in palette colours — no sharp edges. DM Serif Display for the headline (warm, not clinical). Pink on the key output phrase. Widget makes product feel real before it exists.</w:t>
            </w:r>
          </w:p>
        </w:tc>
        <w:tc>
          <w:tcPr>
            <w:tcW w:type="dxa" w:w="270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iCs/>
                <w:color w:val="5A7A96"/>
                <w:sz w:val="20"/>
                <w:szCs w:val="20"/>
              </w:rPr>
              <w:t xml:space="preserve">10-second understanding moment. The headline must communicate the entire product without reading the sub. Visitor decides in 3 seconds whether to scroll.</w:t>
            </w:r>
          </w:p>
        </w:tc>
      </w:tr>
      <w:tr>
        <w:tc>
          <w:tcPr>
            <w:tcW w:type="dxa" w:w="1000"/>
            <w:tcBorders>
              <w:top w:val="single" w:color="D6ECF5" w:sz="4"/>
              <w:left w:val="single" w:color="D6ECF5" w:sz="4"/>
              <w:bottom w:val="single" w:color="D6ECF5" w:sz="4"/>
              <w:right w:val="single" w:color="D6ECF5" w:sz="4"/>
            </w:tcBorders>
            <w:shd w:fill="EAF4FA" w:val="clear"/>
            <w:tcMar>
              <w:top w:type="dxa" w:w="80"/>
              <w:left w:type="dxa" w:w="110"/>
              <w:bottom w:type="dxa" w:w="80"/>
              <w:right w:type="dxa" w:w="110"/>
            </w:tcMar>
          </w:tcPr>
          <w:p>
            <w:r>
              <w:rPr>
                <w:rFonts w:ascii="Calibri" w:cs="Calibri" w:eastAsia="Calibri" w:hAnsi="Calibri"/>
                <w:b/>
                <w:bCs/>
                <w:i w:val="false"/>
                <w:iCs w:val="false"/>
                <w:color w:val="FE9EC7"/>
                <w:sz w:val="19"/>
                <w:szCs w:val="19"/>
              </w:rPr>
              <w:t xml:space="preserve">METRICS BAND</w:t>
            </w:r>
          </w:p>
        </w:tc>
        <w:tc>
          <w:tcPr>
            <w:tcW w:type="dxa" w:w="2960"/>
            <w:tcBorders>
              <w:top w:val="single" w:color="D6ECF5" w:sz="4"/>
              <w:left w:val="single" w:color="D6ECF5" w:sz="4"/>
              <w:bottom w:val="single" w:color="D6ECF5" w:sz="4"/>
              <w:right w:val="single" w:color="D6ECF5" w:sz="4"/>
            </w:tcBorders>
            <w:shd w:fill="FAFCFE"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4 stats across full width: 100× data multiplier · &lt;8h pipeline runtime · 46% engineer time saved · $0 human annotation cost</w:t>
            </w:r>
          </w:p>
        </w:tc>
        <w:tc>
          <w:tcPr>
            <w:tcW w:type="dxa" w:w="2700"/>
            <w:tcBorders>
              <w:top w:val="single" w:color="D6ECF5" w:sz="4"/>
              <w:left w:val="single" w:color="D6ECF5" w:sz="4"/>
              <w:bottom w:val="single" w:color="D6ECF5" w:sz="4"/>
              <w:right w:val="single" w:color="D6ECF5" w:sz="4"/>
            </w:tcBorders>
            <w:shd w:fill="F8FAFB"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Full-width strip, dark surface. Gradient number typography (pink→blue). No icons, no illustrations. Data only.</w:t>
            </w:r>
          </w:p>
        </w:tc>
        <w:tc>
          <w:tcPr>
            <w:tcW w:type="dxa" w:w="2700"/>
            <w:tcBorders>
              <w:top w:val="single" w:color="D6ECF5" w:sz="4"/>
              <w:left w:val="single" w:color="D6ECF5" w:sz="4"/>
              <w:bottom w:val="single" w:color="D6ECF5" w:sz="4"/>
              <w:right w:val="single" w:color="D6ECF5" w:sz="4"/>
            </w:tcBorders>
            <w:shd w:fill="F5FAFE" w:val="clear"/>
            <w:tcMar>
              <w:top w:type="dxa" w:w="80"/>
              <w:left w:type="dxa" w:w="110"/>
              <w:bottom w:type="dxa" w:w="80"/>
              <w:right w:type="dxa" w:w="110"/>
            </w:tcMar>
          </w:tcPr>
          <w:p>
            <w:r>
              <w:rPr>
                <w:rFonts w:ascii="Calibri" w:cs="Calibri" w:eastAsia="Calibri" w:hAnsi="Calibri"/>
                <w:b w:val="false"/>
                <w:bCs w:val="false"/>
                <w:i/>
                <w:iCs/>
                <w:color w:val="5A7A96"/>
                <w:sz w:val="20"/>
                <w:szCs w:val="20"/>
              </w:rPr>
              <w:t xml:space="preserve">Makes the value visceral before any explanation. The numbers do the selling — the visitor does the math themselves.</w:t>
            </w:r>
          </w:p>
        </w:tc>
      </w:tr>
      <w:tr>
        <w:tc>
          <w:tcPr>
            <w:tcW w:type="dxa" w:w="1000"/>
            <w:tcBorders>
              <w:top w:val="single" w:color="D6ECF5" w:sz="4"/>
              <w:left w:val="single" w:color="D6ECF5" w:sz="4"/>
              <w:bottom w:val="single" w:color="D6ECF5" w:sz="4"/>
              <w:right w:val="single" w:color="D6ECF5" w:sz="4"/>
            </w:tcBorders>
            <w:shd w:fill="F5FAFE" w:val="clear"/>
            <w:tcMar>
              <w:top w:type="dxa" w:w="80"/>
              <w:left w:type="dxa" w:w="110"/>
              <w:bottom w:type="dxa" w:w="80"/>
              <w:right w:type="dxa" w:w="110"/>
            </w:tcMar>
          </w:tcPr>
          <w:p>
            <w:r>
              <w:rPr>
                <w:rFonts w:ascii="Calibri" w:cs="Calibri" w:eastAsia="Calibri" w:hAnsi="Calibri"/>
                <w:b/>
                <w:bCs/>
                <w:i w:val="false"/>
                <w:iCs w:val="false"/>
                <w:color w:val="FE9EC7"/>
                <w:sz w:val="19"/>
                <w:szCs w:val="19"/>
              </w:rPr>
              <w:t xml:space="preserve">PROBLEM</w:t>
            </w:r>
          </w:p>
        </w:tc>
        <w:tc>
          <w:tcPr>
            <w:tcW w:type="dxa" w:w="296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3 cards: (1) Labeling one hour of video takes weeks  (2) Edge cases stay invisible until deployment  (3) Generic sim data doesn't transfer to hardware</w:t>
            </w:r>
          </w:p>
        </w:tc>
        <w:tc>
          <w:tcPr>
            <w:tcW w:type="dxa" w:w="2700"/>
            <w:tcBorders>
              <w:top w:val="single" w:color="D6ECF5" w:sz="4"/>
              <w:left w:val="single" w:color="D6ECF5" w:sz="4"/>
              <w:bottom w:val="single" w:color="D6ECF5" w:sz="4"/>
              <w:right w:val="single" w:color="D6ECF5" w:sz="4"/>
            </w:tcBorders>
            <w:shd w:fill="FEFE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Cards with soft hover lift and border glow. Serif card titles. Breathing room. No icons needed — the words carry it.</w:t>
            </w:r>
          </w:p>
        </w:tc>
        <w:tc>
          <w:tcPr>
            <w:tcW w:type="dxa" w:w="270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iCs/>
                <w:color w:val="5A7A96"/>
                <w:sz w:val="20"/>
                <w:szCs w:val="20"/>
              </w:rPr>
              <w:t xml:space="preserve">Mirror the visitor's pain before pitching. They should feel "this is exactly my problem" before they read a single solution claim.</w:t>
            </w:r>
          </w:p>
        </w:tc>
      </w:tr>
      <w:tr>
        <w:tc>
          <w:tcPr>
            <w:tcW w:type="dxa" w:w="1000"/>
            <w:tcBorders>
              <w:top w:val="single" w:color="D6ECF5" w:sz="4"/>
              <w:left w:val="single" w:color="D6ECF5" w:sz="4"/>
              <w:bottom w:val="single" w:color="D6ECF5" w:sz="4"/>
              <w:right w:val="single" w:color="D6ECF5" w:sz="4"/>
            </w:tcBorders>
            <w:shd w:fill="EAF4FA" w:val="clear"/>
            <w:tcMar>
              <w:top w:type="dxa" w:w="80"/>
              <w:left w:type="dxa" w:w="110"/>
              <w:bottom w:type="dxa" w:w="80"/>
              <w:right w:type="dxa" w:w="110"/>
            </w:tcMar>
          </w:tcPr>
          <w:p>
            <w:r>
              <w:rPr>
                <w:rFonts w:ascii="Calibri" w:cs="Calibri" w:eastAsia="Calibri" w:hAnsi="Calibri"/>
                <w:b/>
                <w:bCs/>
                <w:i w:val="false"/>
                <w:iCs w:val="false"/>
                <w:color w:val="FE9EC7"/>
                <w:sz w:val="19"/>
                <w:szCs w:val="19"/>
              </w:rPr>
              <w:t xml:space="preserve">HOW IT WORKS</w:t>
            </w:r>
          </w:p>
        </w:tc>
        <w:tc>
          <w:tcPr>
            <w:tcW w:type="dxa" w:w="2960"/>
            <w:tcBorders>
              <w:top w:val="single" w:color="D6ECF5" w:sz="4"/>
              <w:left w:val="single" w:color="D6ECF5" w:sz="4"/>
              <w:bottom w:val="single" w:color="D6ECF5" w:sz="4"/>
              <w:right w:val="single" w:color="D6ECF5" w:sz="4"/>
            </w:tcBorders>
            <w:shd w:fill="FAFCFE"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4-step vertical list (left): Upload → Reconstruct → Calibrate → Receive · Live JSON output panel (right) showing real trajectory schema</w:t>
            </w:r>
          </w:p>
        </w:tc>
        <w:tc>
          <w:tcPr>
            <w:tcW w:type="dxa" w:w="2700"/>
            <w:tcBorders>
              <w:top w:val="single" w:color="D6ECF5" w:sz="4"/>
              <w:left w:val="single" w:color="D6ECF5" w:sz="4"/>
              <w:bottom w:val="single" w:color="D6ECF5" w:sz="4"/>
              <w:right w:val="single" w:color="D6ECF5" w:sz="4"/>
            </w:tcBorders>
            <w:shd w:fill="F8FAFB"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Two-column layout. Steps animate on hover. JSON panel uses actual output format — makes product feel real and technically credible.</w:t>
            </w:r>
          </w:p>
        </w:tc>
        <w:tc>
          <w:tcPr>
            <w:tcW w:type="dxa" w:w="2700"/>
            <w:tcBorders>
              <w:top w:val="single" w:color="D6ECF5" w:sz="4"/>
              <w:left w:val="single" w:color="D6ECF5" w:sz="4"/>
              <w:bottom w:val="single" w:color="D6ECF5" w:sz="4"/>
              <w:right w:val="single" w:color="D6ECF5" w:sz="4"/>
            </w:tcBorders>
            <w:shd w:fill="F5FAFE" w:val="clear"/>
            <w:tcMar>
              <w:top w:type="dxa" w:w="80"/>
              <w:left w:type="dxa" w:w="110"/>
              <w:bottom w:type="dxa" w:w="80"/>
              <w:right w:type="dxa" w:w="110"/>
            </w:tcMar>
          </w:tcPr>
          <w:p>
            <w:r>
              <w:rPr>
                <w:rFonts w:ascii="Calibri" w:cs="Calibri" w:eastAsia="Calibri" w:hAnsi="Calibri"/>
                <w:b w:val="false"/>
                <w:bCs w:val="false"/>
                <w:i/>
                <w:iCs/>
                <w:color w:val="5A7A96"/>
                <w:sz w:val="20"/>
                <w:szCs w:val="20"/>
              </w:rPr>
              <w:t xml:space="preserve">Mechanism clarity. Shows how video becomes training data in 4 steps. The JSON panel answers "but what does the output look like?"</w:t>
            </w:r>
          </w:p>
        </w:tc>
      </w:tr>
      <w:tr>
        <w:tc>
          <w:tcPr>
            <w:tcW w:type="dxa" w:w="1000"/>
            <w:tcBorders>
              <w:top w:val="single" w:color="D6ECF5" w:sz="4"/>
              <w:left w:val="single" w:color="D6ECF5" w:sz="4"/>
              <w:bottom w:val="single" w:color="D6ECF5" w:sz="4"/>
              <w:right w:val="single" w:color="D6ECF5" w:sz="4"/>
            </w:tcBorders>
            <w:shd w:fill="F5FAFE" w:val="clear"/>
            <w:tcMar>
              <w:top w:type="dxa" w:w="80"/>
              <w:left w:type="dxa" w:w="110"/>
              <w:bottom w:type="dxa" w:w="80"/>
              <w:right w:type="dxa" w:w="110"/>
            </w:tcMar>
          </w:tcPr>
          <w:p>
            <w:r>
              <w:rPr>
                <w:rFonts w:ascii="Calibri" w:cs="Calibri" w:eastAsia="Calibri" w:hAnsi="Calibri"/>
                <w:b/>
                <w:bCs/>
                <w:i w:val="false"/>
                <w:iCs w:val="false"/>
                <w:color w:val="FE9EC7"/>
                <w:sz w:val="19"/>
                <w:szCs w:val="19"/>
              </w:rPr>
              <w:t xml:space="preserve">OBJECTION FLIP</w:t>
            </w:r>
          </w:p>
        </w:tc>
        <w:tc>
          <w:tcPr>
            <w:tcW w:type="dxa" w:w="296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Left panel: "Synthetic data never matches real physics" · Right panel: 4 specific answers explaining physics calibration from actual footage</w:t>
            </w:r>
          </w:p>
        </w:tc>
        <w:tc>
          <w:tcPr>
            <w:tcW w:type="dxa" w:w="2700"/>
            <w:tcBorders>
              <w:top w:val="single" w:color="D6ECF5" w:sz="4"/>
              <w:left w:val="single" w:color="D6ECF5" w:sz="4"/>
              <w:bottom w:val="single" w:color="D6ECF5" w:sz="4"/>
              <w:right w:val="single" w:color="D6ECF5" w:sz="4"/>
            </w:tcBorders>
            <w:shd w:fill="FEFE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Two-column dark panel. Red eyebrow for concern ("The concern"), green eyebrow for answer ("What we do differently"). No hedging, no softening.</w:t>
            </w:r>
          </w:p>
        </w:tc>
        <w:tc>
          <w:tcPr>
            <w:tcW w:type="dxa" w:w="270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iCs/>
                <w:color w:val="5A7A96"/>
                <w:sz w:val="20"/>
                <w:szCs w:val="20"/>
              </w:rPr>
              <w:t xml:space="preserve">Preempts the #1 rejection before it forms in the visitor's mind. Naming the objection builds more trust than ignoring it.</w:t>
            </w:r>
          </w:p>
        </w:tc>
      </w:tr>
      <w:tr>
        <w:tc>
          <w:tcPr>
            <w:tcW w:type="dxa" w:w="1000"/>
            <w:tcBorders>
              <w:top w:val="single" w:color="D6ECF5" w:sz="4"/>
              <w:left w:val="single" w:color="D6ECF5" w:sz="4"/>
              <w:bottom w:val="single" w:color="D6ECF5" w:sz="4"/>
              <w:right w:val="single" w:color="D6ECF5" w:sz="4"/>
            </w:tcBorders>
            <w:shd w:fill="EAF4FA" w:val="clear"/>
            <w:tcMar>
              <w:top w:type="dxa" w:w="80"/>
              <w:left w:type="dxa" w:w="110"/>
              <w:bottom w:type="dxa" w:w="80"/>
              <w:right w:type="dxa" w:w="110"/>
            </w:tcMar>
          </w:tcPr>
          <w:p>
            <w:r>
              <w:rPr>
                <w:rFonts w:ascii="Calibri" w:cs="Calibri" w:eastAsia="Calibri" w:hAnsi="Calibri"/>
                <w:b/>
                <w:bCs/>
                <w:i w:val="false"/>
                <w:iCs w:val="false"/>
                <w:color w:val="FE9EC7"/>
                <w:sz w:val="19"/>
                <w:szCs w:val="19"/>
              </w:rPr>
              <w:t xml:space="preserve">FINAL CTA</w:t>
            </w:r>
          </w:p>
        </w:tc>
        <w:tc>
          <w:tcPr>
            <w:tcW w:type="dxa" w:w="2960"/>
            <w:tcBorders>
              <w:top w:val="single" w:color="D6ECF5" w:sz="4"/>
              <w:left w:val="single" w:color="D6ECF5" w:sz="4"/>
              <w:bottom w:val="single" w:color="D6ECF5" w:sz="4"/>
              <w:right w:val="single" w:color="D6ECF5" w:sz="4"/>
            </w:tcBorders>
            <w:shd w:fill="FAFCFE"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Large serif headline · Sub-copy framing the free pilot · Email form · "No contracts · We reach out within 48h" reassurance line</w:t>
            </w:r>
          </w:p>
        </w:tc>
        <w:tc>
          <w:tcPr>
            <w:tcW w:type="dxa" w:w="2700"/>
            <w:tcBorders>
              <w:top w:val="single" w:color="D6ECF5" w:sz="4"/>
              <w:left w:val="single" w:color="D6ECF5" w:sz="4"/>
              <w:bottom w:val="single" w:color="D6ECF5" w:sz="4"/>
              <w:right w:val="single" w:color="D6ECF5" w:sz="4"/>
            </w:tcBorders>
            <w:shd w:fill="F8FAFB"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Centred layout. Pink radial glow behind. Repeat of the exact same low-friction offer from the hero.</w:t>
            </w:r>
          </w:p>
        </w:tc>
        <w:tc>
          <w:tcPr>
            <w:tcW w:type="dxa" w:w="2700"/>
            <w:tcBorders>
              <w:top w:val="single" w:color="D6ECF5" w:sz="4"/>
              <w:left w:val="single" w:color="D6ECF5" w:sz="4"/>
              <w:bottom w:val="single" w:color="D6ECF5" w:sz="4"/>
              <w:right w:val="single" w:color="D6ECF5" w:sz="4"/>
            </w:tcBorders>
            <w:shd w:fill="F5FAFE" w:val="clear"/>
            <w:tcMar>
              <w:top w:type="dxa" w:w="80"/>
              <w:left w:type="dxa" w:w="110"/>
              <w:bottom w:type="dxa" w:w="80"/>
              <w:right w:type="dxa" w:w="110"/>
            </w:tcMar>
          </w:tcPr>
          <w:p>
            <w:r>
              <w:rPr>
                <w:rFonts w:ascii="Calibri" w:cs="Calibri" w:eastAsia="Calibri" w:hAnsi="Calibri"/>
                <w:b w:val="false"/>
                <w:bCs w:val="false"/>
                <w:i/>
                <w:iCs/>
                <w:color w:val="5A7A96"/>
                <w:sz w:val="20"/>
                <w:szCs w:val="20"/>
              </w:rPr>
              <w:t xml:space="preserve">Second conversion moment for visitors who scrolled but didn't sign up in the hero. Reminder of the zero-risk offer.</w:t>
            </w:r>
          </w:p>
        </w:tc>
      </w:tr>
    </w:tbl>
    <w:p>
      <w:pPr>
        <w:spacing w:before="160" w:after="0"/>
      </w:pPr>
      <w:r>
        <w:t xml:space="preserve"/>
      </w:r>
    </w:p>
    <w:p>
      <w:pPr>
        <w:pStyle w:val="Heading1"/>
        <w:pBdr>
          <w:bottom w:val="single" w:color="FE9EC7" w:sz="8" w:space="4"/>
        </w:pBdr>
        <w:spacing w:before="480" w:after="160"/>
      </w:pPr>
      <w:r>
        <w:rPr>
          <w:rFonts w:ascii="Calibri" w:cs="Calibri" w:eastAsia="Calibri" w:hAnsi="Calibri"/>
          <w:b/>
          <w:bCs/>
          <w:color w:val="0D1520"/>
          <w:sz w:val="38"/>
          <w:szCs w:val="38"/>
        </w:rPr>
        <w:t xml:space="preserve">13. Hero Copy Brief</w:t>
      </w:r>
    </w:p>
    <w:p>
      <w:pPr>
        <w:spacing w:before="60" w:after="100"/>
      </w:pPr>
      <w:r>
        <w:rPr>
          <w:rFonts w:ascii="Calibri" w:cs="Calibri" w:eastAsia="Calibri" w:hAnsi="Calibri"/>
          <w:color w:val="333333"/>
          <w:sz w:val="21"/>
          <w:szCs w:val="21"/>
        </w:rPr>
        <w:t xml:space="preserve">The most important 15 words on the page. Each line of the H1 must stand alone. Visitor understands the product after line 1. Lines 2 and 3 add specificity and remove the biggest objection.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6ECF5" w:sz="4"/>
              <w:left w:val="single" w:color="D6ECF5" w:sz="4"/>
              <w:bottom w:val="single" w:color="D6ECF5" w:sz="4"/>
              <w:right w:val="single" w:color="D6ECF5" w:sz="4"/>
            </w:tcBorders>
            <w:shd w:fill="EAF4FA"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H1 — Line 1</w:t>
            </w:r>
          </w:p>
        </w:tc>
        <w:tc>
          <w:tcPr>
            <w:tcW w:type="dxa" w:w="676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"Your robot footage."  —  establishes the input. Uses "your" to make it personal and specific.</w:t>
            </w:r>
          </w:p>
        </w:tc>
      </w:tr>
      <w:tr>
        <w:tc>
          <w:tcPr>
            <w:tcW w:type="dxa" w:w="2600"/>
            <w:tcBorders>
              <w:top w:val="single" w:color="D6ECF5" w:sz="4"/>
              <w:left w:val="single" w:color="D6ECF5" w:sz="4"/>
              <w:bottom w:val="single" w:color="D6ECF5" w:sz="4"/>
              <w:right w:val="single" w:color="D6ECF5" w:sz="4"/>
            </w:tcBorders>
            <w:shd w:fill="F5FAFE"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H1 — Line 2</w:t>
            </w:r>
          </w:p>
        </w:tc>
        <w:tc>
          <w:tcPr>
            <w:tcW w:type="dxa" w:w="6760"/>
            <w:tcBorders>
              <w:top w:val="single" w:color="D6ECF5" w:sz="4"/>
              <w:left w:val="single" w:color="D6ECF5" w:sz="4"/>
              <w:bottom w:val="single" w:color="D6ECF5" w:sz="4"/>
              <w:right w:val="single" w:color="D6ECF5" w:sz="4"/>
            </w:tcBorders>
            <w:shd w:fill="FAFCFE"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"10,000 scenarios."  —  establishes the output and the scale of value. The pink-accented line.</w:t>
            </w:r>
          </w:p>
        </w:tc>
      </w:tr>
      <w:tr>
        <w:tc>
          <w:tcPr>
            <w:tcW w:type="dxa" w:w="2600"/>
            <w:tcBorders>
              <w:top w:val="single" w:color="D6ECF5" w:sz="4"/>
              <w:left w:val="single" w:color="D6ECF5" w:sz="4"/>
              <w:bottom w:val="single" w:color="D6ECF5" w:sz="4"/>
              <w:right w:val="single" w:color="D6ECF5" w:sz="4"/>
            </w:tcBorders>
            <w:shd w:fill="EAF4FA"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H1 — Line 3</w:t>
            </w:r>
          </w:p>
        </w:tc>
        <w:tc>
          <w:tcPr>
            <w:tcW w:type="dxa" w:w="676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"No human labelers."  —  establishes the mechanism and what they're replacing. Muted blue.</w:t>
            </w:r>
          </w:p>
        </w:tc>
      </w:tr>
      <w:tr>
        <w:tc>
          <w:tcPr>
            <w:tcW w:type="dxa" w:w="2600"/>
            <w:tcBorders>
              <w:top w:val="single" w:color="D6ECF5" w:sz="4"/>
              <w:left w:val="single" w:color="D6ECF5" w:sz="4"/>
              <w:bottom w:val="single" w:color="D6ECF5" w:sz="4"/>
              <w:right w:val="single" w:color="D6ECF5" w:sz="4"/>
            </w:tcBorders>
            <w:shd w:fill="F5FAFE"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Sub-headline</w:t>
            </w:r>
          </w:p>
        </w:tc>
        <w:tc>
          <w:tcPr>
            <w:tcW w:type="dxa" w:w="6760"/>
            <w:tcBorders>
              <w:top w:val="single" w:color="D6ECF5" w:sz="4"/>
              <w:left w:val="single" w:color="D6ECF5" w:sz="4"/>
              <w:bottom w:val="single" w:color="D6ECF5" w:sz="4"/>
              <w:right w:val="single" w:color="D6ECF5" w:sz="4"/>
            </w:tcBorders>
            <w:shd w:fill="FAFCFE"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One sentence. Adds physics accuracy detail. Max 18 words. Does not restate the headline.</w:t>
            </w:r>
          </w:p>
        </w:tc>
      </w:tr>
      <w:tr>
        <w:tc>
          <w:tcPr>
            <w:tcW w:type="dxa" w:w="2600"/>
            <w:tcBorders>
              <w:top w:val="single" w:color="D6ECF5" w:sz="4"/>
              <w:left w:val="single" w:color="D6ECF5" w:sz="4"/>
              <w:bottom w:val="single" w:color="D6ECF5" w:sz="4"/>
              <w:right w:val="single" w:color="D6ECF5" w:sz="4"/>
            </w:tcBorders>
            <w:shd w:fill="EAF4FA"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CTA button text</w:t>
            </w:r>
          </w:p>
        </w:tc>
        <w:tc>
          <w:tcPr>
            <w:tcW w:type="dxa" w:w="676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"Apply for Free Pilot →"  —  implies you receive something, not just join a list.</w:t>
            </w:r>
          </w:p>
        </w:tc>
      </w:tr>
      <w:tr>
        <w:tc>
          <w:tcPr>
            <w:tcW w:type="dxa" w:w="2600"/>
            <w:tcBorders>
              <w:top w:val="single" w:color="D6ECF5" w:sz="4"/>
              <w:left w:val="single" w:color="D6ECF5" w:sz="4"/>
              <w:bottom w:val="single" w:color="D6ECF5" w:sz="4"/>
              <w:right w:val="single" w:color="D6ECF5" w:sz="4"/>
            </w:tcBorders>
            <w:shd w:fill="F5FAFE"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Waitlist counter</w:t>
            </w:r>
          </w:p>
        </w:tc>
        <w:tc>
          <w:tcPr>
            <w:tcW w:type="dxa" w:w="6760"/>
            <w:tcBorders>
              <w:top w:val="single" w:color="D6ECF5" w:sz="4"/>
              <w:left w:val="single" w:color="D6ECF5" w:sz="4"/>
              <w:bottom w:val="single" w:color="D6ECF5" w:sz="4"/>
              <w:right w:val="single" w:color="D6ECF5" w:sz="4"/>
            </w:tcBorders>
            <w:shd w:fill="FAFCFE"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"142 engineers on the waitlist"  —  social proof, not urgency manipulation.</w:t>
            </w:r>
          </w:p>
        </w:tc>
      </w:tr>
      <w:tr>
        <w:tc>
          <w:tcPr>
            <w:tcW w:type="dxa" w:w="2600"/>
            <w:tcBorders>
              <w:top w:val="single" w:color="D6ECF5" w:sz="4"/>
              <w:left w:val="single" w:color="D6ECF5" w:sz="4"/>
              <w:bottom w:val="single" w:color="D6ECF5" w:sz="4"/>
              <w:right w:val="single" w:color="D6ECF5" w:sz="4"/>
            </w:tcBorders>
            <w:shd w:fill="EAF4FA"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Email placeholder</w:t>
            </w:r>
          </w:p>
        </w:tc>
        <w:tc>
          <w:tcPr>
            <w:tcW w:type="dxa" w:w="676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"you@roboticsco.com"  —  tells the visitor who this is for without a single extra word.</w:t>
            </w:r>
          </w:p>
        </w:tc>
      </w:tr>
    </w:tbl>
    <w:p>
      <w:pPr>
        <w:spacing w:before="160" w:after="0"/>
      </w:pPr>
      <w:r>
        <w:t xml:space="preserve"/>
      </w:r>
    </w:p>
    <w:p>
      <w:pPr>
        <w:pStyle w:val="Heading1"/>
        <w:pBdr>
          <w:bottom w:val="single" w:color="FE9EC7" w:sz="8" w:space="4"/>
        </w:pBdr>
        <w:spacing w:before="480" w:after="160"/>
      </w:pPr>
      <w:r>
        <w:rPr>
          <w:rFonts w:ascii="Calibri" w:cs="Calibri" w:eastAsia="Calibri" w:hAnsi="Calibri"/>
          <w:b/>
          <w:bCs/>
          <w:color w:val="0D1520"/>
          <w:sz w:val="38"/>
          <w:szCs w:val="38"/>
        </w:rPr>
        <w:t xml:space="preserve">14. Conversion Flow</w:t>
      </w:r>
    </w:p>
    <w:p>
      <w:pPr>
        <w:spacing w:before="60" w:after="100"/>
      </w:pPr>
      <w:r>
        <w:rPr>
          <w:rFonts w:ascii="Calibri" w:cs="Calibri" w:eastAsia="Calibri" w:hAnsi="Calibri"/>
          <w:color w:val="333333"/>
          <w:sz w:val="21"/>
          <w:szCs w:val="21"/>
        </w:rPr>
        <w:t xml:space="preserve">Friction is the enemy. The form asks for email only. Qualifying questions come after signup via an automated Tally.so link in the confirmation email. This maximises signups while preserving discovery quality.</w:t>
      </w:r>
    </w:p>
    <w:p>
      <w:pPr>
        <w:spacing w:before="80" w:after="0"/>
      </w:pPr>
      <w:r>
        <w:t xml:space="preserve"/>
      </w:r>
    </w:p>
    <w:p>
      <w:pPr>
        <w:pStyle w:val="ListParagraph"/>
        <w:numPr>
          <w:ilvl w:val="0"/>
          <w:numId w:val="2"/>
        </w:numPr>
        <w:spacing w:before="50" w:after="60"/>
      </w:pPr>
      <w:r>
        <w:rPr>
          <w:rFonts w:ascii="Calibri" w:cs="Calibri" w:eastAsia="Calibri" w:hAnsi="Calibri"/>
          <w:color w:val="333333"/>
          <w:sz w:val="21"/>
          <w:szCs w:val="21"/>
        </w:rPr>
        <w:t xml:space="preserve">Visitor enters email and clicks "Apply for Free Pilot →"</w:t>
      </w:r>
    </w:p>
    <w:p>
      <w:pPr>
        <w:pStyle w:val="ListParagraph"/>
        <w:numPr>
          <w:ilvl w:val="0"/>
          <w:numId w:val="2"/>
        </w:numPr>
        <w:spacing w:before="50" w:after="60"/>
      </w:pPr>
      <w:r>
        <w:rPr>
          <w:rFonts w:ascii="Calibri" w:cs="Calibri" w:eastAsia="Calibri" w:hAnsi="Calibri"/>
          <w:color w:val="333333"/>
          <w:sz w:val="21"/>
          <w:szCs w:val="21"/>
        </w:rPr>
        <w:t xml:space="preserve">Form collapses inline. Confirmation appears: "You're in. Expect a message within 48 hours."</w:t>
      </w:r>
    </w:p>
    <w:p>
      <w:pPr>
        <w:pStyle w:val="ListParagraph"/>
        <w:numPr>
          <w:ilvl w:val="0"/>
          <w:numId w:val="2"/>
        </w:numPr>
        <w:spacing w:before="50" w:after="60"/>
      </w:pPr>
      <w:r>
        <w:rPr>
          <w:rFonts w:ascii="Calibri" w:cs="Calibri" w:eastAsia="Calibri" w:hAnsi="Calibri"/>
          <w:color w:val="333333"/>
          <w:sz w:val="21"/>
          <w:szCs w:val="21"/>
        </w:rPr>
        <w:t xml:space="preserve">Waitlist counter increments by 1 client-side — builds social proof momentum.</w:t>
      </w:r>
    </w:p>
    <w:p>
      <w:pPr>
        <w:pStyle w:val="ListParagraph"/>
        <w:numPr>
          <w:ilvl w:val="0"/>
          <w:numId w:val="2"/>
        </w:numPr>
        <w:spacing w:before="50" w:after="60"/>
      </w:pPr>
      <w:r>
        <w:rPr>
          <w:rFonts w:ascii="Calibri" w:cs="Calibri" w:eastAsia="Calibri" w:hAnsi="Calibri"/>
          <w:color w:val="333333"/>
          <w:sz w:val="21"/>
          <w:szCs w:val="21"/>
        </w:rPr>
        <w:t xml:space="preserve">Automated email sent with Tally.so link. Three qualifying questions:</w:t>
      </w:r>
    </w:p>
    <w:p>
      <w:pPr>
        <w:pStyle w:val="ListParagraph"/>
        <w:numPr>
          <w:ilvl w:val="1"/>
          <w:numId w:val="2"/>
        </w:numPr>
        <w:spacing w:before="50" w:after="60"/>
      </w:pPr>
      <w:r>
        <w:rPr>
          <w:rFonts w:ascii="Calibri" w:cs="Calibri" w:eastAsia="Calibri" w:hAnsi="Calibri"/>
          <w:color w:val="333333"/>
          <w:sz w:val="21"/>
          <w:szCs w:val="21"/>
        </w:rPr>
        <w:t xml:space="preserve">What robot / use case are you training for?</w:t>
      </w:r>
    </w:p>
    <w:p>
      <w:pPr>
        <w:pStyle w:val="ListParagraph"/>
        <w:numPr>
          <w:ilvl w:val="1"/>
          <w:numId w:val="2"/>
        </w:numPr>
        <w:spacing w:before="50" w:after="60"/>
      </w:pPr>
      <w:r>
        <w:rPr>
          <w:rFonts w:ascii="Calibri" w:cs="Calibri" w:eastAsia="Calibri" w:hAnsi="Calibri"/>
          <w:color w:val="333333"/>
          <w:sz w:val="21"/>
          <w:szCs w:val="21"/>
        </w:rPr>
        <w:t xml:space="preserve">How are you currently getting training data?</w:t>
      </w:r>
    </w:p>
    <w:p>
      <w:pPr>
        <w:pStyle w:val="ListParagraph"/>
        <w:numPr>
          <w:ilvl w:val="1"/>
          <w:numId w:val="2"/>
        </w:numPr>
        <w:spacing w:before="50" w:after="60"/>
      </w:pPr>
      <w:r>
        <w:rPr>
          <w:rFonts w:ascii="Calibri" w:cs="Calibri" w:eastAsia="Calibri" w:hAnsi="Calibri"/>
          <w:color w:val="333333"/>
          <w:sz w:val="21"/>
          <w:szCs w:val="21"/>
        </w:rPr>
        <w:t xml:space="preserve">How many hours per week does your team spend on annotation work?</w:t>
      </w:r>
    </w:p>
    <w:p>
      <w:pPr>
        <w:pStyle w:val="ListParagraph"/>
        <w:numPr>
          <w:ilvl w:val="0"/>
          <w:numId w:val="2"/>
        </w:numPr>
        <w:spacing w:before="50" w:after="60"/>
      </w:pPr>
      <w:r>
        <w:rPr>
          <w:rFonts w:ascii="Calibri" w:cs="Calibri" w:eastAsia="Calibri" w:hAnsi="Calibri"/>
          <w:color w:val="333333"/>
          <w:sz w:val="21"/>
          <w:szCs w:val="21"/>
        </w:rPr>
        <w:t xml:space="preserve">Team reviews responses and books 20-minute discovery calls with highest-fit signups within 48 hours.</w:t>
      </w:r>
    </w:p>
    <w:p>
      <w:pPr>
        <w:spacing w:before="160" w:after="0"/>
      </w:pPr>
      <w:r>
        <w:t xml:space="preserve"/>
      </w:r>
    </w:p>
    <w:p>
      <w:pPr>
        <w:pStyle w:val="Heading1"/>
        <w:pBdr>
          <w:bottom w:val="single" w:color="FE9EC7" w:sz="8" w:space="4"/>
        </w:pBdr>
        <w:spacing w:before="480" w:after="160"/>
      </w:pPr>
      <w:r>
        <w:rPr>
          <w:rFonts w:ascii="Calibri" w:cs="Calibri" w:eastAsia="Calibri" w:hAnsi="Calibri"/>
          <w:b/>
          <w:bCs/>
          <w:color w:val="0D1520"/>
          <w:sz w:val="38"/>
          <w:szCs w:val="38"/>
        </w:rPr>
        <w:t xml:space="preserve">15. Technical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6ECF5" w:sz="4"/>
              <w:left w:val="single" w:color="D6ECF5" w:sz="4"/>
              <w:bottom w:val="single" w:color="D6ECF5" w:sz="4"/>
              <w:right w:val="single" w:color="D6ECF5" w:sz="4"/>
            </w:tcBorders>
            <w:shd w:fill="EAF4FA"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Framework</w:t>
            </w:r>
          </w:p>
        </w:tc>
        <w:tc>
          <w:tcPr>
            <w:tcW w:type="dxa" w:w="676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Static HTML + CSS + vanilla JS. Zero framework dependency. No build step required.</w:t>
            </w:r>
          </w:p>
        </w:tc>
      </w:tr>
      <w:tr>
        <w:tc>
          <w:tcPr>
            <w:tcW w:type="dxa" w:w="2600"/>
            <w:tcBorders>
              <w:top w:val="single" w:color="D6ECF5" w:sz="4"/>
              <w:left w:val="single" w:color="D6ECF5" w:sz="4"/>
              <w:bottom w:val="single" w:color="D6ECF5" w:sz="4"/>
              <w:right w:val="single" w:color="D6ECF5" w:sz="4"/>
            </w:tcBorders>
            <w:shd w:fill="F5FAFE"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Deployment</w:t>
            </w:r>
          </w:p>
        </w:tc>
        <w:tc>
          <w:tcPr>
            <w:tcW w:type="dxa" w:w="6760"/>
            <w:tcBorders>
              <w:top w:val="single" w:color="D6ECF5" w:sz="4"/>
              <w:left w:val="single" w:color="D6ECF5" w:sz="4"/>
              <w:bottom w:val="single" w:color="D6ECF5" w:sz="4"/>
              <w:right w:val="single" w:color="D6ECF5" w:sz="4"/>
            </w:tcBorders>
            <w:shd w:fill="FAFCFE"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Vercel or Netlify free tier — drag-and-drop deploy of the single HTML file.</w:t>
            </w:r>
          </w:p>
        </w:tc>
      </w:tr>
      <w:tr>
        <w:tc>
          <w:tcPr>
            <w:tcW w:type="dxa" w:w="2600"/>
            <w:tcBorders>
              <w:top w:val="single" w:color="D6ECF5" w:sz="4"/>
              <w:left w:val="single" w:color="D6ECF5" w:sz="4"/>
              <w:bottom w:val="single" w:color="D6ECF5" w:sz="4"/>
              <w:right w:val="single" w:color="D6ECF5" w:sz="4"/>
            </w:tcBorders>
            <w:shd w:fill="EAF4FA"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Form backend</w:t>
            </w:r>
          </w:p>
        </w:tc>
        <w:tc>
          <w:tcPr>
            <w:tcW w:type="dxa" w:w="676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Tally.so (free) or Formspree — submissions piped to a Google Sheet for manual tracking.</w:t>
            </w:r>
          </w:p>
        </w:tc>
      </w:tr>
      <w:tr>
        <w:tc>
          <w:tcPr>
            <w:tcW w:type="dxa" w:w="2600"/>
            <w:tcBorders>
              <w:top w:val="single" w:color="D6ECF5" w:sz="4"/>
              <w:left w:val="single" w:color="D6ECF5" w:sz="4"/>
              <w:bottom w:val="single" w:color="D6ECF5" w:sz="4"/>
              <w:right w:val="single" w:color="D6ECF5" w:sz="4"/>
            </w:tcBorders>
            <w:shd w:fill="F5FAFE"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Fonts</w:t>
            </w:r>
          </w:p>
        </w:tc>
        <w:tc>
          <w:tcPr>
            <w:tcW w:type="dxa" w:w="6760"/>
            <w:tcBorders>
              <w:top w:val="single" w:color="D6ECF5" w:sz="4"/>
              <w:left w:val="single" w:color="D6ECF5" w:sz="4"/>
              <w:bottom w:val="single" w:color="D6ECF5" w:sz="4"/>
              <w:right w:val="single" w:color="D6ECF5" w:sz="4"/>
            </w:tcBorders>
            <w:shd w:fill="FAFCFE"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Google Fonts CDN — DM Serif Display, DM Sans, DM Mono. Single link tag.</w:t>
            </w:r>
          </w:p>
        </w:tc>
      </w:tr>
      <w:tr>
        <w:tc>
          <w:tcPr>
            <w:tcW w:type="dxa" w:w="2600"/>
            <w:tcBorders>
              <w:top w:val="single" w:color="D6ECF5" w:sz="4"/>
              <w:left w:val="single" w:color="D6ECF5" w:sz="4"/>
              <w:bottom w:val="single" w:color="D6ECF5" w:sz="4"/>
              <w:right w:val="single" w:color="D6ECF5" w:sz="4"/>
            </w:tcBorders>
            <w:shd w:fill="EAF4FA"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Animations</w:t>
            </w:r>
          </w:p>
        </w:tc>
        <w:tc>
          <w:tcPr>
            <w:tcW w:type="dxa" w:w="676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CSS-only for all transitions and glows. IntersectionObserver for scroll reveals. No JS animation libraries.</w:t>
            </w:r>
          </w:p>
        </w:tc>
      </w:tr>
      <w:tr>
        <w:tc>
          <w:tcPr>
            <w:tcW w:type="dxa" w:w="2600"/>
            <w:tcBorders>
              <w:top w:val="single" w:color="D6ECF5" w:sz="4"/>
              <w:left w:val="single" w:color="D6ECF5" w:sz="4"/>
              <w:bottom w:val="single" w:color="D6ECF5" w:sz="4"/>
              <w:right w:val="single" w:color="D6ECF5" w:sz="4"/>
            </w:tcBorders>
            <w:shd w:fill="F5FAFE"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Performance target</w:t>
            </w:r>
          </w:p>
        </w:tc>
        <w:tc>
          <w:tcPr>
            <w:tcW w:type="dxa" w:w="6760"/>
            <w:tcBorders>
              <w:top w:val="single" w:color="D6ECF5" w:sz="4"/>
              <w:left w:val="single" w:color="D6ECF5" w:sz="4"/>
              <w:bottom w:val="single" w:color="D6ECF5" w:sz="4"/>
              <w:right w:val="single" w:color="D6ECF5" w:sz="4"/>
            </w:tcBorders>
            <w:shd w:fill="FAFCFE"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No raster images. All visuals are CSS (gradients, borders, shadows). Target under 60kb total page weight.</w:t>
            </w:r>
          </w:p>
        </w:tc>
      </w:tr>
      <w:tr>
        <w:tc>
          <w:tcPr>
            <w:tcW w:type="dxa" w:w="2600"/>
            <w:tcBorders>
              <w:top w:val="single" w:color="D6ECF5" w:sz="4"/>
              <w:left w:val="single" w:color="D6ECF5" w:sz="4"/>
              <w:bottom w:val="single" w:color="D6ECF5" w:sz="4"/>
              <w:right w:val="single" w:color="D6ECF5" w:sz="4"/>
            </w:tcBorders>
            <w:shd w:fill="EAF4FA"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Analytics</w:t>
            </w:r>
          </w:p>
        </w:tc>
        <w:tc>
          <w:tcPr>
            <w:tcW w:type="dxa" w:w="676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Plausible.io (privacy-first, free tier) or simple Fathom. Track: page views, CTA clicks, form completions.</w:t>
            </w:r>
          </w:p>
        </w:tc>
      </w:tr>
      <w:tr>
        <w:tc>
          <w:tcPr>
            <w:tcW w:type="dxa" w:w="2600"/>
            <w:tcBorders>
              <w:top w:val="single" w:color="D6ECF5" w:sz="4"/>
              <w:left w:val="single" w:color="D6ECF5" w:sz="4"/>
              <w:bottom w:val="single" w:color="D6ECF5" w:sz="4"/>
              <w:right w:val="single" w:color="D6ECF5" w:sz="4"/>
            </w:tcBorders>
            <w:shd w:fill="F5FAFE"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Mobile breakpoint</w:t>
            </w:r>
          </w:p>
        </w:tc>
        <w:tc>
          <w:tcPr>
            <w:tcW w:type="dxa" w:w="6760"/>
            <w:tcBorders>
              <w:top w:val="single" w:color="D6ECF5" w:sz="4"/>
              <w:left w:val="single" w:color="D6ECF5" w:sz="4"/>
              <w:bottom w:val="single" w:color="D6ECF5" w:sz="4"/>
              <w:right w:val="single" w:color="D6ECF5" w:sz="4"/>
            </w:tcBorders>
            <w:shd w:fill="FAFCFE"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960px — hero right column hidden, single-column layout below this width.</w:t>
            </w:r>
          </w:p>
        </w:tc>
      </w:tr>
      <w:tr>
        <w:tc>
          <w:tcPr>
            <w:tcW w:type="dxa" w:w="2600"/>
            <w:tcBorders>
              <w:top w:val="single" w:color="D6ECF5" w:sz="4"/>
              <w:left w:val="single" w:color="D6ECF5" w:sz="4"/>
              <w:bottom w:val="single" w:color="D6ECF5" w:sz="4"/>
              <w:right w:val="single" w:color="D6ECF5" w:sz="4"/>
            </w:tcBorders>
            <w:shd w:fill="EAF4FA"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Browser support</w:t>
            </w:r>
          </w:p>
        </w:tc>
        <w:tc>
          <w:tcPr>
            <w:tcW w:type="dxa" w:w="676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Last 2 versions of all major browsers. No IE support required.</w:t>
            </w:r>
          </w:p>
        </w:tc>
      </w:tr>
    </w:tbl>
    <w:p>
      <w:pPr>
        <w:spacing w:before="160" w:after="0"/>
      </w:pPr>
      <w:r>
        <w:t xml:space="preserve"/>
      </w:r>
    </w:p>
    <w:p>
      <w:pPr>
        <w:pStyle w:val="Heading1"/>
        <w:pBdr>
          <w:bottom w:val="single" w:color="FE9EC7" w:sz="8" w:space="4"/>
        </w:pBdr>
        <w:spacing w:before="480" w:after="160"/>
      </w:pPr>
      <w:r>
        <w:rPr>
          <w:rFonts w:ascii="Calibri" w:cs="Calibri" w:eastAsia="Calibri" w:hAnsi="Calibri"/>
          <w:b/>
          <w:bCs/>
          <w:color w:val="0D1520"/>
          <w:sz w:val="38"/>
          <w:szCs w:val="38"/>
        </w:rPr>
        <w:t xml:space="preserve">16. What NOT to Build</w:t>
      </w:r>
    </w:p>
    <w:p>
      <w:pPr>
        <w:spacing w:before="60" w:after="100"/>
      </w:pPr>
      <w:r>
        <w:rPr>
          <w:rFonts w:ascii="Calibri" w:cs="Calibri" w:eastAsia="Calibri" w:hAnsi="Calibri"/>
          <w:color w:val="333333"/>
          <w:sz w:val="21"/>
          <w:szCs w:val="21"/>
        </w:rPr>
        <w:t xml:space="preserve">Scope discipline is critical. The following should not appear on the landing page under any circumstances:</w:t>
      </w:r>
    </w:p>
    <w:p>
      <w:pPr>
        <w:spacing w:before="80" w:after="0"/>
      </w:pPr>
      <w:r>
        <w:t xml:space="preserve"/>
      </w:r>
    </w:p>
    <w:p>
      <w:pPr>
        <w:pStyle w:val="ListParagraph"/>
        <w:numPr>
          <w:ilvl w:val="0"/>
          <w:numId w:val="2"/>
        </w:numPr>
        <w:spacing w:before="50" w:after="60"/>
      </w:pPr>
      <w:r>
        <w:rPr>
          <w:rFonts w:ascii="Calibri" w:cs="Calibri" w:eastAsia="Calibri" w:hAnsi="Calibri"/>
          <w:color w:val="333333"/>
          <w:sz w:val="21"/>
          <w:szCs w:val="21"/>
        </w:rPr>
        <w:t xml:space="preserve">Pricing page or tier comparison — you don't have pricing yet and showing it signals immaturity.</w:t>
      </w:r>
    </w:p>
    <w:p>
      <w:pPr>
        <w:pStyle w:val="ListParagraph"/>
        <w:numPr>
          <w:ilvl w:val="0"/>
          <w:numId w:val="2"/>
        </w:numPr>
        <w:spacing w:before="50" w:after="60"/>
      </w:pPr>
      <w:r>
        <w:rPr>
          <w:rFonts w:ascii="Calibri" w:cs="Calibri" w:eastAsia="Calibri" w:hAnsi="Calibri"/>
          <w:color w:val="333333"/>
          <w:sz w:val="21"/>
          <w:szCs w:val="21"/>
        </w:rPr>
        <w:t xml:space="preserve">Technical architecture diagrams — they imply complexity and slow adoption intent.</w:t>
      </w:r>
    </w:p>
    <w:p>
      <w:pPr>
        <w:pStyle w:val="ListParagraph"/>
        <w:numPr>
          <w:ilvl w:val="0"/>
          <w:numId w:val="2"/>
        </w:numPr>
        <w:spacing w:before="50" w:after="60"/>
      </w:pPr>
      <w:r>
        <w:rPr>
          <w:rFonts w:ascii="Calibri" w:cs="Calibri" w:eastAsia="Calibri" w:hAnsi="Calibri"/>
          <w:color w:val="333333"/>
          <w:sz w:val="21"/>
          <w:szCs w:val="21"/>
        </w:rPr>
        <w:t xml:space="preserve">SDK / API documentation links — discovery call is the right moment for this.</w:t>
      </w:r>
    </w:p>
    <w:p>
      <w:pPr>
        <w:pStyle w:val="ListParagraph"/>
        <w:numPr>
          <w:ilvl w:val="0"/>
          <w:numId w:val="2"/>
        </w:numPr>
        <w:spacing w:before="50" w:after="60"/>
      </w:pPr>
      <w:r>
        <w:rPr>
          <w:rFonts w:ascii="Calibri" w:cs="Calibri" w:eastAsia="Calibri" w:hAnsi="Calibri"/>
          <w:color w:val="333333"/>
          <w:sz w:val="21"/>
          <w:szCs w:val="21"/>
        </w:rPr>
        <w:t xml:space="preserve">Multiple CTA types — every button should do one thing: open the email form. No "Learn more", no "Watch demo".</w:t>
      </w:r>
    </w:p>
    <w:p>
      <w:pPr>
        <w:pStyle w:val="ListParagraph"/>
        <w:numPr>
          <w:ilvl w:val="0"/>
          <w:numId w:val="2"/>
        </w:numPr>
        <w:spacing w:before="50" w:after="60"/>
      </w:pPr>
      <w:r>
        <w:rPr>
          <w:rFonts w:ascii="Calibri" w:cs="Calibri" w:eastAsia="Calibri" w:hAnsi="Calibri"/>
          <w:color w:val="333333"/>
          <w:sz w:val="21"/>
          <w:szCs w:val="21"/>
        </w:rPr>
        <w:t xml:space="preserve">Blog, case studies, or press page — nothing exists yet. Empty sections destroy credibility.</w:t>
      </w:r>
    </w:p>
    <w:p>
      <w:pPr>
        <w:pStyle w:val="ListParagraph"/>
        <w:numPr>
          <w:ilvl w:val="0"/>
          <w:numId w:val="2"/>
        </w:numPr>
        <w:spacing w:before="50" w:after="60"/>
      </w:pPr>
      <w:r>
        <w:rPr>
          <w:rFonts w:ascii="Calibri" w:cs="Calibri" w:eastAsia="Calibri" w:hAnsi="Calibri"/>
          <w:color w:val="333333"/>
          <w:sz w:val="21"/>
          <w:szCs w:val="21"/>
        </w:rPr>
        <w:t xml:space="preserve">Social media links — they take visitors off the page before they convert.</w:t>
      </w:r>
    </w:p>
    <w:p>
      <w:pPr>
        <w:pStyle w:val="ListParagraph"/>
        <w:numPr>
          <w:ilvl w:val="0"/>
          <w:numId w:val="2"/>
        </w:numPr>
        <w:spacing w:before="50" w:after="60"/>
      </w:pPr>
      <w:r>
        <w:rPr>
          <w:rFonts w:ascii="Calibri" w:cs="Calibri" w:eastAsia="Calibri" w:hAnsi="Calibri"/>
          <w:color w:val="333333"/>
          <w:sz w:val="21"/>
          <w:szCs w:val="21"/>
        </w:rPr>
        <w:t xml:space="preserve">Any mention of "beta", "alpha", or "coming soon" — the free pilot framing handles this without the stigma.</w:t>
      </w:r>
    </w:p>
    <w:p>
      <w:pPr>
        <w:spacing w:before="200" w:after="0"/>
      </w:pPr>
      <w:r>
        <w:t xml:space="preserve"/>
      </w:r>
    </w:p>
    <w:p>
      <w:r>
        <w:br w:type="page"/>
      </w:r>
    </w:p>
    <w:p>
      <w:pPr>
        <w:spacing w:before="800" w:after="120"/>
      </w:pPr>
      <w:r>
        <w:rPr>
          <w:rFonts w:ascii="Calibri" w:cs="Calibri" w:eastAsia="Calibri" w:hAnsi="Calibri"/>
          <w:b/>
          <w:bCs/>
          <w:color w:val="FE9EC7"/>
          <w:sz w:val="26"/>
          <w:szCs w:val="26"/>
        </w:rPr>
        <w:t xml:space="preserve">04</w:t>
      </w:r>
    </w:p>
    <w:p>
      <w:pPr>
        <w:spacing w:before="0" w:after="120"/>
      </w:pPr>
      <w:r>
        <w:rPr>
          <w:rFonts w:ascii="Calibri" w:cs="Calibri" w:eastAsia="Calibri" w:hAnsi="Calibri"/>
          <w:b/>
          <w:bCs/>
          <w:color w:val="0D1520"/>
          <w:sz w:val="58"/>
          <w:szCs w:val="58"/>
        </w:rPr>
        <w:t xml:space="preserve">Go-to-Market</w:t>
      </w:r>
    </w:p>
    <w:p>
      <w:pPr>
        <w:spacing w:before="0" w:after="480"/>
      </w:pPr>
      <w:r>
        <w:rPr>
          <w:rFonts w:ascii="Calibri" w:cs="Calibri" w:eastAsia="Calibri" w:hAnsi="Calibri"/>
          <w:i/>
          <w:iCs/>
          <w:color w:val="5A7A96"/>
          <w:sz w:val="24"/>
          <w:szCs w:val="24"/>
        </w:rPr>
        <w:t xml:space="preserve">How to fill the waitlist without spending money</w:t>
      </w:r>
    </w:p>
    <w:p>
      <w:pPr>
        <w:pBdr>
          <w:bottom w:val="single" w:color="AACDDC" w:sz="8" w:space="1"/>
        </w:pBdr>
        <w:spacing w:before="0" w:after="0"/>
      </w:pPr>
      <w:r>
        <w:t xml:space="preserve"/>
      </w:r>
    </w:p>
    <w:p>
      <w:pPr>
        <w:pStyle w:val="Heading1"/>
        <w:pBdr>
          <w:bottom w:val="single" w:color="FE9EC7" w:sz="8" w:space="4"/>
        </w:pBdr>
        <w:spacing w:before="480" w:after="160"/>
      </w:pPr>
      <w:r>
        <w:rPr>
          <w:rFonts w:ascii="Calibri" w:cs="Calibri" w:eastAsia="Calibri" w:hAnsi="Calibri"/>
          <w:b/>
          <w:bCs/>
          <w:color w:val="0D1520"/>
          <w:sz w:val="38"/>
          <w:szCs w:val="38"/>
        </w:rPr>
        <w:t xml:space="preserve">17. Distribution Channels</w:t>
      </w:r>
    </w:p>
    <w:p>
      <w:pPr>
        <w:spacing w:before="60" w:after="100"/>
      </w:pPr>
      <w:r>
        <w:rPr>
          <w:rFonts w:ascii="Calibri" w:cs="Calibri" w:eastAsia="Calibri" w:hAnsi="Calibri"/>
          <w:color w:val="333333"/>
          <w:sz w:val="21"/>
          <w:szCs w:val="21"/>
        </w:rPr>
        <w:t xml:space="preserve">The robotics ML community is small and concentrated. One genuine post in the right place outperforms $10,000 of paid advertising. Prioritise depth over breadth.</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6ECF5" w:sz="4"/>
              <w:left w:val="single" w:color="D6ECF5" w:sz="4"/>
              <w:bottom w:val="single" w:color="D6ECF5" w:sz="4"/>
              <w:right w:val="single" w:color="D6ECF5" w:sz="4"/>
            </w:tcBorders>
            <w:shd w:fill="EAF4FA"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Tier 1 — Immediate</w:t>
            </w:r>
          </w:p>
        </w:tc>
        <w:tc>
          <w:tcPr>
            <w:tcW w:type="dxa" w:w="676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Hugging Face LeRobot community forum · ROS Discourse · OpenRobotics Slack · r/robotics (framed as a question, not a pitch)</w:t>
            </w:r>
          </w:p>
        </w:tc>
      </w:tr>
      <w:tr>
        <w:tc>
          <w:tcPr>
            <w:tcW w:type="dxa" w:w="2600"/>
            <w:tcBorders>
              <w:top w:val="single" w:color="D6ECF5" w:sz="4"/>
              <w:left w:val="single" w:color="D6ECF5" w:sz="4"/>
              <w:bottom w:val="single" w:color="D6ECF5" w:sz="4"/>
              <w:right w:val="single" w:color="D6ECF5" w:sz="4"/>
            </w:tcBorders>
            <w:shd w:fill="F5FAFE"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Tier 2 — Direct outreach</w:t>
            </w:r>
          </w:p>
        </w:tc>
        <w:tc>
          <w:tcPr>
            <w:tcW w:type="dxa" w:w="6760"/>
            <w:tcBorders>
              <w:top w:val="single" w:color="D6ECF5" w:sz="4"/>
              <w:left w:val="single" w:color="D6ECF5" w:sz="4"/>
              <w:bottom w:val="single" w:color="D6ECF5" w:sz="4"/>
              <w:right w:val="single" w:color="D6ECF5" w:sz="4"/>
            </w:tcBorders>
            <w:shd w:fill="FAFCFE"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Manual LinkedIn outreach to 50 robotics ML leads at post-Series A companies. Message: name their specific pain, not your product.</w:t>
            </w:r>
          </w:p>
        </w:tc>
      </w:tr>
      <w:tr>
        <w:tc>
          <w:tcPr>
            <w:tcW w:type="dxa" w:w="2600"/>
            <w:tcBorders>
              <w:top w:val="single" w:color="D6ECF5" w:sz="4"/>
              <w:left w:val="single" w:color="D6ECF5" w:sz="4"/>
              <w:bottom w:val="single" w:color="D6ECF5" w:sz="4"/>
              <w:right w:val="single" w:color="D6ECF5" w:sz="4"/>
            </w:tcBorders>
            <w:shd w:fill="EAF4FA"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Tier 3 — Content</w:t>
            </w:r>
          </w:p>
        </w:tc>
        <w:tc>
          <w:tcPr>
            <w:tcW w:type="dxa" w:w="676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One high-quality technical post: "Why synthetic data fails for manipulation tasks (and what actually works)". Publish on Substack + cross-post to Towards Data Science.</w:t>
            </w:r>
          </w:p>
        </w:tc>
      </w:tr>
      <w:tr>
        <w:tc>
          <w:tcPr>
            <w:tcW w:type="dxa" w:w="2600"/>
            <w:tcBorders>
              <w:top w:val="single" w:color="D6ECF5" w:sz="4"/>
              <w:left w:val="single" w:color="D6ECF5" w:sz="4"/>
              <w:bottom w:val="single" w:color="D6ECF5" w:sz="4"/>
              <w:right w:val="single" w:color="D6ECF5" w:sz="4"/>
            </w:tcBorders>
            <w:shd w:fill="F5FAFE"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Tier 4 — Events</w:t>
            </w:r>
          </w:p>
        </w:tc>
        <w:tc>
          <w:tcPr>
            <w:tcW w:type="dxa" w:w="6760"/>
            <w:tcBorders>
              <w:top w:val="single" w:color="D6ECF5" w:sz="4"/>
              <w:left w:val="single" w:color="D6ECF5" w:sz="4"/>
              <w:bottom w:val="single" w:color="D6ECF5" w:sz="4"/>
              <w:right w:val="single" w:color="D6ECF5" w:sz="4"/>
            </w:tcBorders>
            <w:shd w:fill="FAFCFE"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ICRA, CoRL, ROSCon. No booth needed. 20 hallway conversations at one conference fills early pipeline.</w:t>
            </w:r>
          </w:p>
        </w:tc>
      </w:tr>
      <w:tr>
        <w:tc>
          <w:tcPr>
            <w:tcW w:type="dxa" w:w="2600"/>
            <w:tcBorders>
              <w:top w:val="single" w:color="D6ECF5" w:sz="4"/>
              <w:left w:val="single" w:color="D6ECF5" w:sz="4"/>
              <w:bottom w:val="single" w:color="D6ECF5" w:sz="4"/>
              <w:right w:val="single" w:color="D6ECF5" w:sz="4"/>
            </w:tcBorders>
            <w:shd w:fill="EAF4FA" w:val="clear"/>
            <w:tcMar>
              <w:top w:type="dxa" w:w="80"/>
              <w:left w:type="dxa" w:w="110"/>
              <w:bottom w:type="dxa" w:w="80"/>
              <w:right w:type="dxa" w:w="110"/>
            </w:tcMar>
          </w:tcPr>
          <w:p>
            <w:r>
              <w:rPr>
                <w:rFonts w:ascii="Calibri" w:cs="Calibri" w:eastAsia="Calibri" w:hAnsi="Calibri"/>
                <w:b/>
                <w:bCs/>
                <w:i w:val="false"/>
                <w:iCs w:val="false"/>
                <w:color w:val="162033"/>
                <w:sz w:val="20"/>
                <w:szCs w:val="20"/>
              </w:rPr>
              <w:t xml:space="preserve">What to avoid</w:t>
            </w:r>
          </w:p>
        </w:tc>
        <w:tc>
          <w:tcPr>
            <w:tcW w:type="dxa" w:w="6760"/>
            <w:tcBorders>
              <w:top w:val="single" w:color="D6ECF5" w:sz="4"/>
              <w:left w:val="single" w:color="D6ECF5" w:sz="4"/>
              <w:bottom w:val="single" w:color="D6ECF5" w:sz="4"/>
              <w:right w:val="single" w:color="D6ECF5" w:sz="4"/>
            </w:tcBorders>
            <w:shd w:fill="FFFFFF" w:val="clear"/>
            <w:tcMar>
              <w:top w:type="dxa" w:w="80"/>
              <w:left w:type="dxa" w:w="110"/>
              <w:bottom w:type="dxa" w:w="80"/>
              <w:right w:type="dxa" w:w="110"/>
            </w:tcMar>
          </w:tcPr>
          <w:p>
            <w:r>
              <w:rPr>
                <w:rFonts w:ascii="Calibri" w:cs="Calibri" w:eastAsia="Calibri" w:hAnsi="Calibri"/>
                <w:b w:val="false"/>
                <w:bCs w:val="false"/>
                <w:i w:val="false"/>
                <w:iCs w:val="false"/>
                <w:color w:val="333333"/>
                <w:sz w:val="20"/>
                <w:szCs w:val="20"/>
              </w:rPr>
              <w:t xml:space="preserve">Paid ads — you haven't validated messaging. Every paid click that doesn't convert is wasted signal.</w:t>
            </w:r>
          </w:p>
        </w:tc>
      </w:tr>
    </w:tbl>
    <w:p>
      <w:pPr>
        <w:spacing w:before="160" w:after="0"/>
      </w:pPr>
      <w:r>
        <w:t xml:space="preserve"/>
      </w:r>
    </w:p>
    <w:p>
      <w:pPr>
        <w:pStyle w:val="Heading1"/>
        <w:pBdr>
          <w:bottom w:val="single" w:color="FE9EC7" w:sz="8" w:space="4"/>
        </w:pBdr>
        <w:spacing w:before="480" w:after="160"/>
      </w:pPr>
      <w:r>
        <w:rPr>
          <w:rFonts w:ascii="Calibri" w:cs="Calibri" w:eastAsia="Calibri" w:hAnsi="Calibri"/>
          <w:b/>
          <w:bCs/>
          <w:color w:val="0D1520"/>
          <w:sz w:val="38"/>
          <w:szCs w:val="38"/>
        </w:rPr>
        <w:t xml:space="preserve">18. PMF Signal Metrics</w:t>
      </w:r>
    </w:p>
    <w:p>
      <w:pPr>
        <w:spacing w:before="60" w:after="100"/>
      </w:pPr>
      <w:r>
        <w:rPr>
          <w:rFonts w:ascii="Calibri" w:cs="Calibri" w:eastAsia="Calibri" w:hAnsi="Calibri"/>
          <w:color w:val="333333"/>
          <w:sz w:val="21"/>
          <w:szCs w:val="21"/>
        </w:rPr>
        <w:t xml:space="preserve">Ignore vanity metrics. The only numbers that matter at this stage:</w:t>
      </w:r>
    </w:p>
    <w:p>
      <w:pPr>
        <w:spacing w:before="80" w:after="0"/>
      </w:pPr>
      <w:r>
        <w:t xml:space="preserve"/>
      </w:r>
    </w:p>
    <w:p>
      <w:pPr>
        <w:pStyle w:val="ListParagraph"/>
        <w:numPr>
          <w:ilvl w:val="0"/>
          <w:numId w:val="2"/>
        </w:numPr>
        <w:spacing w:before="50" w:after="60"/>
      </w:pPr>
      <w:r>
        <w:rPr>
          <w:rFonts w:ascii="Calibri" w:cs="Calibri" w:eastAsia="Calibri" w:hAnsi="Calibri"/>
          <w:color w:val="333333"/>
          <w:sz w:val="21"/>
          <w:szCs w:val="21"/>
        </w:rPr>
        <w:t xml:space="preserve">Email signups with qualifying questions answered (quality signal, not volume)</w:t>
      </w:r>
    </w:p>
    <w:p>
      <w:pPr>
        <w:pStyle w:val="ListParagraph"/>
        <w:numPr>
          <w:ilvl w:val="0"/>
          <w:numId w:val="2"/>
        </w:numPr>
        <w:spacing w:before="50" w:after="60"/>
      </w:pPr>
      <w:r>
        <w:rPr>
          <w:rFonts w:ascii="Calibri" w:cs="Calibri" w:eastAsia="Calibri" w:hAnsi="Calibri"/>
          <w:color w:val="333333"/>
          <w:sz w:val="21"/>
          <w:szCs w:val="21"/>
        </w:rPr>
        <w:t xml:space="preserve">Discovery calls booked as a % of signups — target &gt;20%</w:t>
      </w:r>
    </w:p>
    <w:p>
      <w:pPr>
        <w:pStyle w:val="ListParagraph"/>
        <w:numPr>
          <w:ilvl w:val="0"/>
          <w:numId w:val="2"/>
        </w:numPr>
        <w:spacing w:before="50" w:after="60"/>
      </w:pPr>
      <w:r>
        <w:rPr>
          <w:rFonts w:ascii="Calibri" w:cs="Calibri" w:eastAsia="Calibri" w:hAnsi="Calibri"/>
          <w:color w:val="333333"/>
          <w:sz w:val="21"/>
          <w:szCs w:val="21"/>
        </w:rPr>
        <w:t xml:space="preserve">Whether people describe your problem back to you in their own words without prompting — this is the real PMF signal</w:t>
      </w:r>
    </w:p>
    <w:p>
      <w:pPr>
        <w:pStyle w:val="ListParagraph"/>
        <w:numPr>
          <w:ilvl w:val="0"/>
          <w:numId w:val="2"/>
        </w:numPr>
        <w:spacing w:before="50" w:after="60"/>
      </w:pPr>
      <w:r>
        <w:rPr>
          <w:rFonts w:ascii="Calibri" w:cs="Calibri" w:eastAsia="Calibri" w:hAnsi="Calibri"/>
          <w:color w:val="333333"/>
          <w:sz w:val="21"/>
          <w:szCs w:val="21"/>
        </w:rPr>
        <w:t xml:space="preserve">How many say "I wish this existed 6 months ago" — strong positive indicator</w:t>
      </w:r>
    </w:p>
    <w:p>
      <w:pPr>
        <w:pStyle w:val="ListParagraph"/>
        <w:numPr>
          <w:ilvl w:val="0"/>
          <w:numId w:val="2"/>
        </w:numPr>
        <w:spacing w:before="50" w:after="60"/>
      </w:pPr>
      <w:r>
        <w:rPr>
          <w:rFonts w:ascii="Calibri" w:cs="Calibri" w:eastAsia="Calibri" w:hAnsi="Calibri"/>
          <w:color w:val="333333"/>
          <w:sz w:val="21"/>
          <w:szCs w:val="21"/>
        </w:rPr>
        <w:t xml:space="preserve">"When can I use it?" unprompted — strongest signal of all</w:t>
      </w:r>
    </w:p>
    <w:p>
      <w:pPr>
        <w:spacing w:before="200" w:after="0"/>
      </w:pPr>
      <w:r>
        <w:t xml:space="preserve"/>
      </w:r>
    </w:p>
    <w:sectPr>
      <w:headerReference w:type="default" r:id="rId6"/>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CF5" w:sz="4" w:space="2"/>
      </w:pBdr>
      <w:tabs>
        <w:tab w:val="right" w:pos="9026"/>
      </w:tabs>
      <w:spacing w:before="100" w:after="0"/>
    </w:pPr>
    <w:r>
      <w:rPr>
        <w:rFonts w:ascii="Calibri" w:cs="Calibri" w:eastAsia="Calibri" w:hAnsi="Calibri"/>
        <w:color w:val="5A7A96"/>
        <w:sz w:val="16"/>
        <w:szCs w:val="16"/>
      </w:rPr>
      <w:t xml:space="preserve">© 2025 Imagine Labs  ·  Toronto, ON  ·  hello@imaginelabs.io</w:t>
    </w:r>
    <w:r>
      <w:rPr>
        <w:rFonts w:ascii="Calibri" w:cs="Calibri" w:eastAsia="Calibri" w:hAnsi="Calibri"/>
        <w:sz w:val="16"/>
        <w:szCs w:val="16"/>
      </w:rPr>
      <w:t xml:space="preserve">	</w:t>
    </w:r>
    <w:r>
      <w:rPr>
        <w:rFonts w:ascii="Calibri" w:cs="Calibri" w:eastAsia="Calibri" w:hAnsi="Calibri"/>
        <w:color w:val="81A6C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CF5" w:sz="4" w:space="2"/>
      </w:pBdr>
      <w:tabs>
        <w:tab w:val="right" w:pos="9026"/>
      </w:tabs>
      <w:spacing w:before="0" w:after="100"/>
    </w:pPr>
    <w:r>
      <w:rPr>
        <w:rFonts w:ascii="Calibri" w:cs="Calibri" w:eastAsia="Calibri" w:hAnsi="Calibri"/>
        <w:color w:val="5A7A96"/>
        <w:sz w:val="17"/>
        <w:szCs w:val="17"/>
      </w:rPr>
      <w:t xml:space="preserve">Imagine Labs  ·  Engineering &amp; Design Document</w:t>
    </w:r>
    <w:r>
      <w:rPr>
        <w:rFonts w:ascii="Calibri" w:cs="Calibri" w:eastAsia="Calibri" w:hAnsi="Calibri"/>
        <w:sz w:val="17"/>
        <w:szCs w:val="17"/>
      </w:rPr>
      <w:t xml:space="preserve">	</w:t>
    </w:r>
    <w:r>
      <w:rPr>
        <w:rFonts w:ascii="Calibri" w:cs="Calibri" w:eastAsia="Calibri" w:hAnsi="Calibri"/>
        <w:b/>
        <w:bCs/>
        <w:color w:val="FE9EC7"/>
        <w:sz w:val="17"/>
        <w:szCs w:val="17"/>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Calibri" w:cs="Calibri" w:eastAsia="Calibri" w:hAnsi="Calibri"/>
      <w:b/>
      <w:bCs/>
      <w:color w:val="0D1520"/>
      <w:sz w:val="38"/>
      <w:szCs w:val="38"/>
    </w:rPr>
  </w:style>
  <w:style w:type="paragraph" w:styleId="Heading2">
    <w:name w:val="Heading 2"/>
    <w:basedOn w:val="Normal"/>
    <w:next w:val="Normal"/>
    <w:qFormat/>
    <w:pPr>
      <w:spacing w:before="340" w:after="100"/>
      <w:outlineLvl w:val="1"/>
    </w:pPr>
    <w:rPr>
      <w:rFonts w:ascii="Calibri" w:cs="Calibri" w:eastAsia="Calibri" w:hAnsi="Calibri"/>
      <w:b/>
      <w:bCs/>
      <w:color w:val="162033"/>
      <w:sz w:val="28"/>
      <w:szCs w:val="28"/>
    </w:rPr>
  </w:style>
  <w:style w:type="paragraph" w:styleId="Heading3">
    <w:name w:val="Heading 3"/>
    <w:basedOn w:val="Normal"/>
    <w:next w:val="Normal"/>
    <w:qFormat/>
    <w:pPr>
      <w:spacing w:before="200" w:after="80"/>
      <w:outlineLvl w:val="2"/>
    </w:pPr>
    <w:rPr>
      <w:rFonts w:ascii="Calibri" w:cs="Calibri" w:eastAsia="Calibri" w:hAnsi="Calibri"/>
      <w:b/>
      <w:bCs/>
      <w:color w:val="81A6C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2026-03-07T19:45:17.101Z</dcterms:created>
  <dcterms:modified xsi:type="dcterms:W3CDTF">2026-03-07T19:45:17.102Z</dcterms:modified>
</cp:coreProperties>
</file>

<file path=docProps/custom.xml><?xml version="1.0" encoding="utf-8"?>
<Properties xmlns="http://schemas.openxmlformats.org/officeDocument/2006/custom-properties" xmlns:vt="http://schemas.openxmlformats.org/officeDocument/2006/docPropsVTypes"/>
</file>