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700" w:after="80" w:line="360" w:lineRule="auto"/>
        <w:ind w:firstLine="0"/>
      </w:pPr>
      <w:r>
        <w:rPr>
          <w:rFonts w:ascii="Times New Roman" w:hAnsi="Times New Roman" w:eastAsia="SimSun" w:cs="Times New Roman"/>
          <w:sz w:val="40"/>
          <w:szCs w:val="40"/>
          <w:b/>
          <w:bCs/>
          <w:color w:val="000000"/>
        </w:rPr>
        <w:t xml:space="preserve">月球 Web 科普与模型展示系统</w:t>
      </w:r>
    </w:p>
    <w:p>
      <w:pPr>
        <w:jc w:val="center"/>
        <w:spacing w:before="80" w:after="520" w:line="360" w:lineRule="auto"/>
        <w:ind w:firstLine="0"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项目结项报告框架</w:t>
      </w:r>
    </w:p>
    <w:p>
      <w:pPr>
        <w:jc w:val="center"/>
        <w:spacing w:before="0" w:after="260" w:line="360" w:lineRule="auto"/>
        <w:ind w:firstLine="0"/>
      </w:pPr>
      <w:r>
        <w:rPr>
          <w:rFonts w:ascii="Times New Roman" w:hAnsi="Times New Roman" w:eastAsia="SimSun" w:cs="Times New Roman"/>
          <w:sz w:val="24"/>
          <w:szCs w:val="24"/>
          <w:color w:val="000000"/>
        </w:rPr>
        <w:t xml:space="preserve">合同完成情况与系统功能对应版</w:t>
      </w:r>
    </w:p>
    <w:p>
      <w:pPr>
        <w:jc w:val="center"/>
        <w:spacing w:before="380" w:after="100" w:line="360" w:lineRule="auto"/>
        <w:ind w:firstLine="0"/>
      </w:pPr>
      <w:r>
        <w:rPr>
          <w:rFonts w:ascii="Times New Roman" w:hAnsi="Times New Roman" w:eastAsia="SimSun" w:cs="Times New Roman"/>
          <w:sz w:val="24"/>
          <w:szCs w:val="24"/>
          <w:color w:val="000000"/>
        </w:rPr>
        <w:t xml:space="preserve">[建设单位]</w:t>
      </w:r>
    </w:p>
    <w:p>
      <w:pPr>
        <w:jc w:val="center"/>
        <w:spacing w:before="0" w:after="100" w:line="360" w:lineRule="auto"/>
        <w:ind w:firstLine="0"/>
      </w:pPr>
      <w:r>
        <w:rPr>
          <w:rFonts w:ascii="Times New Roman" w:hAnsi="Times New Roman" w:eastAsia="SimSun" w:cs="Times New Roman"/>
          <w:sz w:val="24"/>
          <w:szCs w:val="24"/>
          <w:color w:val="000000"/>
        </w:rPr>
        <w:t xml:space="preserve">[承建单位]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eastAsia="SimSun" w:cs="Times New Roman"/>
          <w:sz w:val="24"/>
          <w:szCs w:val="24"/>
          <w:color w:val="000000"/>
        </w:rPr>
        <w:t xml:space="preserve">[报告日期：YYYY 年 MM 月]</w:t>
      </w:r>
    </w:p>
    <w:p>
      <w:r>
        <w:br w:type="page"/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编制说明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SimSun" w:cs="Times New Roman"/>
          <w:sz w:val="24"/>
          <w:szCs w:val="24"/>
          <w:color w:val="000000"/>
        </w:rPr>
        <w:t xml:space="preserve">本框架按结项报告的叙事顺序重新组织为七个部分：项目概述、项目建设目标、主要工作内容、项目实施过程、系统部署与运行、用户培训与运维、结论。合同完成情况和功能对应关系放在“主要工作内容”中集中说明。正式报告根据最终版本、真实数据、测试记录、部署记录和验收材料补齐。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报告格式基线</w:t>
      </w:r>
    </w:p>
    <w:tbl>
      <w:tblPr>
        <w:tblW w:w="9000" w:type="dxa"/>
        <w:tblLayout w:type="fixed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项目</w:t>
            </w:r>
          </w:p>
        </w:tc>
        <w:tc>
          <w:tcPr>
            <w:tcW w:w="75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规范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版式</w:t>
            </w:r>
          </w:p>
        </w:tc>
        <w:tc>
          <w:tcPr>
            <w:tcW w:w="7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A4；上、下 2.5 cm，左 3.0 cm，右 2.5 cm；页码置于页脚居中。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正文</w:t>
            </w:r>
          </w:p>
        </w:tc>
        <w:tc>
          <w:tcPr>
            <w:tcW w:w="7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中文宋体小四（12 pt）；英文和数字 Times New Roman；1.5 倍行距，首行缩进 2 字符。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标题</w:t>
            </w:r>
          </w:p>
        </w:tc>
        <w:tc>
          <w:tcPr>
            <w:tcW w:w="7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一级、二级、三级标题连续编号；标题黑体，正文黑色。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图表</w:t>
            </w:r>
          </w:p>
        </w:tc>
        <w:tc>
          <w:tcPr>
            <w:tcW w:w="7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图、表和题注居中；表采用三线表，不设背景色和竖线。</w:t>
            </w:r>
          </w:p>
        </w:tc>
      </w:tr>
    </w:tbl>
    <w:p>
      <w:r>
        <w:br w:type="page"/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目录框架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摘要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Abstract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1 项目概述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2 项目建设目标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3 主要工作内容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4 项目实施过程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5 系统部署与运行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6 用户培训与运维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7 结论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参考文献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附录 A 合同证据矩阵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附录 B 功能清单与测试结果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附录 C 数据、模型和资源清单 …… [页码待生成]</w:t>
      </w:r>
    </w:p>
    <w:p>
      <w:pPr>
        <w:spacing w:before="0" w:after="50" w:line="330" w:lineRule="auto"/>
        <w:ind w:firstLine="0"/>
      </w:pPr>
      <w:r>
        <w:rPr>
          <w:rFonts w:ascii="Times New Roman" w:hAnsi="Times New Roman" w:eastAsia="SimSun" w:cs="Times New Roman"/>
          <w:sz w:val="23"/>
          <w:szCs w:val="23"/>
          <w:color w:val="000000"/>
        </w:rPr>
        <w:t xml:space="preserve">附录 D 部署和版本交付清单 …… [页码待生成]</w:t>
      </w:r>
    </w:p>
    <w:p>
      <w:r>
        <w:br w:type="page"/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摘要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[填写项目背景、建设目标、主要成果、合同完成情况和结论，建议 500—800 字。]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关键词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[月球三维可视化；圈层结构；解析延拓成果；Cesium；科普展示]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Abstract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[对应中文摘要撰写英文摘要，英文使用 Times New Roman。]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Keywords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[English keywords]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1 项目概述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1.1 项目背景与来源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[说明项目来源、合同名称、合同编号、建设单位和承建单位；简述月球科普展示、内部结构认知和科研成果展示需求。]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1.2 项目建设范围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 Web 端系统、月球三维场景、圈层模型、图层与点位、演化展示、漫游场景、算法成果接入和实体展示之间的范围关系。]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1.3 编制依据与项目边界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[列出合同、UE5 技术方案、现有系统、论文资料、模型资源和实施方案；注明科研算法由外部单位提供，实体球体和灯具与软件分别验收。]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1.4 参建单位和职责</w:t>
      </w:r>
    </w:p>
    <w:tbl>
      <w:tblPr>
        <w:tblW w:w="9000" w:type="dxa"/>
        <w:tblLayout w:type="fixed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500"/>
        <w:gridCol w:w="1900"/>
        <w:gridCol w:w="3600"/>
        <w:gridCol w:w="2000"/>
      </w:tblGrid>
      <w:tr>
        <w:trPr>
          <w:tblHeader/>
        </w:trPr>
        <w:tc>
          <w:tcPr>
            <w:tcW w:w="15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角色</w:t>
            </w:r>
          </w:p>
        </w:tc>
        <w:tc>
          <w:tcPr>
            <w:tcW w:w="19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单位/人员</w:t>
            </w:r>
          </w:p>
        </w:tc>
        <w:tc>
          <w:tcPr>
            <w:tcW w:w="36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职责</w:t>
            </w:r>
          </w:p>
        </w:tc>
        <w:tc>
          <w:tcPr>
            <w:tcW w:w="20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主要材料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建设单位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需求确认、资料提供、验收组织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确认记录、验收意见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软件建设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系统开发、数据/模型接入、部署维护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源码、版本、测试与部署记录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算法成果提供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解析延拓及相关科研成果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成果包、算法说明、元数据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实体制作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实体球体和灯具等制作交付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实物清单、照片、验收记录</w:t>
            </w:r>
          </w:p>
        </w:tc>
      </w:tr>
    </w:tbl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2 项目建设目标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2.1 总体目标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[概括建设一个面向科普演示的 Web 月球信息化系统，实现月表浏览、内部结构认知、月球演化展示、科研成果接入和可维护资源管理。]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2.2 合同目标分解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[按照 R01—R10 将目标分为统一平台、图层和空间时间关联、圈层模型、解析延拓成果、剖面查询、早期场景、算法成果约束、DEM、部署维护和实体展示十类。]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2.3 建设原则与验收口径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[说明软件展示能力、外部算法成果和实体交付分别取证；模拟数据仅用于开发验证，不能替代合同要求的真实成果。]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3 主要工作内容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3.1 系统总体建设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[插入总体架构图：浏览器端、Cesium 场景、业务接口、数据目录、模型资源、成果包和部署服务。图 3-1 居中。]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3.2 功能建设清单</w:t>
      </w:r>
    </w:p>
    <w:p>
      <w:pPr>
        <w:pStyle w:val="Heading3"/>
        <w:jc w:val="left"/>
        <w:spacing w:before="160" w:after="80" w:line="360" w:lineRule="auto"/>
        <w:ind w:firstLine="0"/>
        <w:keepNext/>
      </w:pPr>
      <w:r>
        <w:rPr>
          <w:rFonts w:ascii="Times New Roman" w:hAnsi="Times New Roman" w:eastAsia="SimSun" w:cs="Times New Roman"/>
          <w:sz w:val="24"/>
          <w:szCs w:val="24"/>
          <w:b/>
          <w:bCs/>
          <w:color w:val="000000"/>
        </w:rPr>
        <w:t xml:space="preserve">3.2.1 月球探索、图层和点位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[说明全屏 Cesium、图层树、DEM/影像/地质图、点线面要素和科普展板。]</w:t>
      </w:r>
    </w:p>
    <w:p>
      <w:pPr>
        <w:pStyle w:val="Heading3"/>
        <w:jc w:val="left"/>
        <w:spacing w:before="160" w:after="80" w:line="360" w:lineRule="auto"/>
        <w:ind w:firstLine="0"/>
        <w:keepNext/>
      </w:pPr>
      <w:r>
        <w:rPr>
          <w:rFonts w:ascii="Times New Roman" w:hAnsi="Times New Roman" w:eastAsia="SimSun" w:cs="Times New Roman"/>
          <w:sz w:val="24"/>
          <w:szCs w:val="24"/>
          <w:b/>
          <w:bCs/>
          <w:color w:val="000000"/>
        </w:rPr>
        <w:t xml:space="preserve">3.2.2 内部与演化、漫游和模型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[说明参数化圈层、中文时间轴、月表漫游、月球车轨迹、基地环游和分层 GLB 展台。]</w:t>
      </w:r>
    </w:p>
    <w:p>
      <w:pPr>
        <w:jc w:val="center"/>
        <w:spacing w:before="120" w:after="80" w:line="300" w:lineRule="auto"/>
        <w:ind w:firstLine="0"/>
      </w:pPr>
      <w:r>
        <w:rPr>
          <w:rFonts w:ascii="Times New Roman" w:hAnsi="Times New Roman" w:eastAsia="SimSun" w:cs="Times New Roman"/>
          <w:sz w:val="22"/>
          <w:szCs w:val="22"/>
          <w:b/>
          <w:bCs/>
          <w:color w:val="000000"/>
        </w:rPr>
        <w:t xml:space="preserve">表 3-1 系统功能与合同条款对应表</w:t>
      </w:r>
    </w:p>
    <w:tbl>
      <w:tblPr>
        <w:tblW w:w="9000" w:type="dxa"/>
        <w:tblLayout w:type="fixed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900"/>
        <w:gridCol w:w="3000"/>
        <w:gridCol w:w="1700"/>
        <w:gridCol w:w="2300"/>
        <w:gridCol w:w="1100"/>
      </w:tblGrid>
      <w:tr>
        <w:trPr>
          <w:tblHeader/>
        </w:trPr>
        <w:tc>
          <w:tcPr>
            <w:tcW w:w="9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功能编号</w:t>
            </w:r>
          </w:p>
        </w:tc>
        <w:tc>
          <w:tcPr>
            <w:tcW w:w="30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系统功能</w:t>
            </w:r>
          </w:p>
        </w:tc>
        <w:tc>
          <w:tcPr>
            <w:tcW w:w="17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对应合同条款</w:t>
            </w:r>
          </w:p>
        </w:tc>
        <w:tc>
          <w:tcPr>
            <w:tcW w:w="23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主要证据</w:t>
            </w:r>
          </w:p>
        </w:tc>
        <w:tc>
          <w:tcPr>
            <w:tcW w:w="11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状态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F01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月球探索与全屏 Cesium 场景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R01、R02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场景截图、操作用例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F02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参数化圈层与完整球/半球/四分之一剖切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R03、R05、R10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参数记录、剖切截图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F03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图层树、DEM、影像、地质图和在线服务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R02、R08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图层元数据、显示截图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F04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点位、点线面要素和科普信息展板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R01、R02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点位清单、查询截图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F05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内部与演化、中文时间轴和阶段场景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R02、R03、R06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阶段配置、演示脚本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F06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解析延拓成果、深度切换和剖面浏览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R04、R05、R07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成果包、采样和剖面记录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F07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地月运动、光照阴影和聚焦月球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R02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时间轴、场景截图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F08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月表漫游、月球车轨迹和基地环游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R06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路线、视角和操作用例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F09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分层 GLB 模型展台与内部结构联动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R03、R05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模型清单、展台截图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F10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资源目录、版本管理和发布清单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R01、R09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manifest、版本和发布记录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F11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部署、操作、备份恢复和维护说明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R09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部署记录、手册、恢复记录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</w:tbl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3.3 合同要求与完成情况</w:t>
      </w:r>
    </w:p>
    <w:p>
      <w:pPr>
        <w:jc w:val="center"/>
        <w:spacing w:before="120" w:after="80" w:line="300" w:lineRule="auto"/>
        <w:ind w:firstLine="0"/>
      </w:pPr>
      <w:r>
        <w:rPr>
          <w:rFonts w:ascii="Times New Roman" w:hAnsi="Times New Roman" w:eastAsia="SimSun" w:cs="Times New Roman"/>
          <w:sz w:val="22"/>
          <w:szCs w:val="22"/>
          <w:b/>
          <w:bCs/>
          <w:color w:val="000000"/>
        </w:rPr>
        <w:t xml:space="preserve">表 3-2 合同条款、功能/成果、证据与完成状态对应表</w:t>
      </w:r>
    </w:p>
    <w:tbl>
      <w:tblPr>
        <w:tblW w:w="9000" w:type="dxa"/>
        <w:tblLayout w:type="fixed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700"/>
        <w:gridCol w:w="2300"/>
        <w:gridCol w:w="2500"/>
        <w:gridCol w:w="2300"/>
        <w:gridCol w:w="1200"/>
      </w:tblGrid>
      <w:tr>
        <w:trPr>
          <w:tblHeader/>
        </w:trPr>
        <w:tc>
          <w:tcPr>
            <w:tcW w:w="7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条款</w:t>
            </w:r>
          </w:p>
        </w:tc>
        <w:tc>
          <w:tcPr>
            <w:tcW w:w="23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合同要求摘要</w:t>
            </w:r>
          </w:p>
        </w:tc>
        <w:tc>
          <w:tcPr>
            <w:tcW w:w="25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对应功能或成果</w:t>
            </w:r>
          </w:p>
        </w:tc>
        <w:tc>
          <w:tcPr>
            <w:tcW w:w="23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证据材料</w:t>
            </w:r>
          </w:p>
        </w:tc>
        <w:tc>
          <w:tcPr>
            <w:tcW w:w="12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状态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统一月球数据库和三维展示平台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F01、F04、F10；数据目录和模型版本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目录记录、截图、版本清单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R02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统一空间参考和时间轴，联动 DEM、反照率、地质图等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F01、F03、F05、F07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元数据、配准记录、场景截图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一维分层、核幔旋转椭球、内核球面及热演化模型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F02、F05、F09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模型版本、参数表、查询记录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R04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月表向月幔解析延拓与分析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F06；成果包导入和剖面显示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算法成果包、采样记录、截图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[外部待交]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R05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剖面浏览、圈层查询和内外层关联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F02、F06、F09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测试用例、联动截图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R06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不少于 2 个早期场景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F05、F08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场景清单、脚本、截图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R07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1200 阶次模型及 MOHO 约束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F06；算法成果元数据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成果包、算法说明、输入来源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[外部待交]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R08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全球 DEM 0.0625°，支持降分辨率显示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F03；DEM 元数据和分级资源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栅格元数据、重采样记录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R09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安装平台、交付成果和后续维护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F10、F11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安装记录、交付清单、手册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R10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可拆分实体球体和幔柱火山灯具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实体交付；软件 F02 为辅助展示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实物清单、照片、验收记录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[实体交付]</w:t>
            </w:r>
          </w:p>
        </w:tc>
      </w:tr>
    </w:tbl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3.4 合同之外的增强工作</w:t>
      </w:r>
    </w:p>
    <w:p>
      <w:pPr>
        <w:jc w:val="center"/>
        <w:spacing w:before="120" w:after="80" w:line="300" w:lineRule="auto"/>
        <w:ind w:firstLine="0"/>
      </w:pPr>
      <w:r>
        <w:rPr>
          <w:rFonts w:ascii="Times New Roman" w:hAnsi="Times New Roman" w:eastAsia="SimSun" w:cs="Times New Roman"/>
          <w:sz w:val="22"/>
          <w:szCs w:val="22"/>
          <w:b/>
          <w:bCs/>
          <w:color w:val="000000"/>
        </w:rPr>
        <w:t xml:space="preserve">表 3-3 额外完成功能和展示增强</w:t>
      </w:r>
    </w:p>
    <w:tbl>
      <w:tblPr>
        <w:tblW w:w="9000" w:type="dxa"/>
        <w:tblLayout w:type="fixed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800"/>
        <w:gridCol w:w="3000"/>
        <w:gridCol w:w="2600"/>
        <w:gridCol w:w="1700"/>
        <w:gridCol w:w="900"/>
      </w:tblGrid>
      <w:tr>
        <w:trPr>
          <w:tblHeader/>
        </w:trPr>
        <w:tc>
          <w:tcPr>
            <w:tcW w:w="8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编号</w:t>
            </w:r>
          </w:p>
        </w:tc>
        <w:tc>
          <w:tcPr>
            <w:tcW w:w="30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额外功能</w:t>
            </w:r>
          </w:p>
        </w:tc>
        <w:tc>
          <w:tcPr>
            <w:tcW w:w="26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与合同关系</w:t>
            </w:r>
          </w:p>
        </w:tc>
        <w:tc>
          <w:tcPr>
            <w:tcW w:w="17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证据</w:t>
            </w:r>
          </w:p>
        </w:tc>
        <w:tc>
          <w:tcPr>
            <w:tcW w:w="9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状态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E01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深空背景、太空贴图和界面视觉优化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科普展示体验增强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页面截图、版本记录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E02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真实地球球体与影像贴图、聚焦月球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地月运动展示扩展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资源清单、场景截图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E03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月球车自由、固定跟随和第一视角漫游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R06 场景的交互扩展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路线数据、操作用例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E04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点线面科普要素和富媒体展板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R01/R02 点位展示扩展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点位清单、查询截图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E05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分层 GLB 模型独立展台和多视角查看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R03/R05 模型展示扩展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模型清单、展台截图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</w:tbl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3.5 数据、模型和成果接入工作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[列出 DEM、影像、地质图、点位、文献、GLB、纹理、参数模型和解析延拓成果的接入、清洗、元数据登记、版本关联和来源追踪。]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4 项目实施过程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4.1 需求梳理与技术验证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[说明从现有 HTML、合同、UE5 方案和用户确认中提炼需求，完成 Cesium、参数模型、剖切、图层、漫游和模型加载等关键验证。]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4.2 分阶段实施过程</w:t>
      </w:r>
    </w:p>
    <w:tbl>
      <w:tblPr>
        <w:tblW w:w="9000" w:type="dxa"/>
        <w:tblLayout w:type="fixed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300"/>
        <w:gridCol w:w="3500"/>
        <w:gridCol w:w="2800"/>
        <w:gridCol w:w="1400"/>
      </w:tblGrid>
      <w:tr>
        <w:trPr>
          <w:tblHeader/>
        </w:trPr>
        <w:tc>
          <w:tcPr>
            <w:tcW w:w="13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阶段</w:t>
            </w:r>
          </w:p>
        </w:tc>
        <w:tc>
          <w:tcPr>
            <w:tcW w:w="35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主要工作</w:t>
            </w:r>
          </w:p>
        </w:tc>
        <w:tc>
          <w:tcPr>
            <w:tcW w:w="28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输出物</w:t>
            </w:r>
          </w:p>
        </w:tc>
        <w:tc>
          <w:tcPr>
            <w:tcW w:w="14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状态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S0 资料和环境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合同、资料、模型、数据、浏览器和硬件核查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环境清单、资产清单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S1 三维技术验证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Cesium、圈层、剖切、加载和基础交互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可运行原型、验证记录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S2 工程骨架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页面、状态、场景适配、目录和版本结构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工程代码、构建配置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S3 探索和成果流程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图层、点位、查询、剖面和模拟成果流程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探索功能、成果浏览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S4 演化和漫游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阶段场景、时间轴、月球车、基地和视角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演示脚本、漫游场景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S5 数据整合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真实数据、算法成果、模型和元数据接入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成果整合版、证据矩阵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S6 交付验收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部署、兼容、性能、备份、培训和交付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交付包、测试记录、手册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</w:tbl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4.3 联调、测试和问题闭环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[记录月球场景加载、完整球切换剖切报错、漫游视角、模型加载、时间轴、图层和点位等问题的发现、修复版本、验证方式和结果。]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4.4 实施风险和边界处理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[记录真实算法成果、DEM、反照率、地质图、实体制作、在线服务和目标设备等外部依赖；明确模拟数据不能替代最终验收材料。]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5 系统部署与运行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5.1 部署环境与系统组成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[填写操作系统、浏览器、服务器、前端、API、数据库、资源文件、网络、GPU、内存和访问地址。]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5.2 安装、启动与运行流程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[说明安装包、依赖、环境变量、启动/停止命令、首次加载、资源路径和在线服务配置。]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5.3 主要运行功能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[按演示顺序说明月球探索、图层树、点位展板、参数圈层、内部与演化、月表漫游、地月运动和 GLB 模型展台。]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5.4 运行验证和性能记录</w:t>
      </w:r>
    </w:p>
    <w:p>
      <w:pPr>
        <w:pStyle w:val="Heading3"/>
        <w:jc w:val="left"/>
        <w:spacing w:before="160" w:after="80" w:line="360" w:lineRule="auto"/>
        <w:ind w:firstLine="0"/>
        <w:keepNext/>
      </w:pPr>
      <w:r>
        <w:rPr>
          <w:rFonts w:ascii="Times New Roman" w:hAnsi="Times New Roman" w:eastAsia="SimSun" w:cs="Times New Roman"/>
          <w:sz w:val="24"/>
          <w:szCs w:val="24"/>
          <w:b/>
          <w:bCs/>
          <w:color w:val="000000"/>
        </w:rPr>
        <w:t xml:space="preserve">5.4.1 功能验收证据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[按表 3-1 记录每项功能的操作步骤、预期结果、实际结果、截图和复测结论。]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[记录 Chrome/Edge、目标分辨率、首屏加载、场景切换、模型切换、帧率、内存、长时间运行和异常恢复结果。]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6 用户培训与运维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6.1 用户培训对象和内容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[填写管理员、讲解人员、普通浏览人员的培训对象、次数、时间、讲义、演示脚本和签到/反馈材料。]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6.2 用户操作指南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[按任务编写操作步骤：进入系统、切换模块、调整参数、查询点位、加载模型、控制时间轴、切换漫游视角和导出截图。]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6.3 数据和模型更新维护</w:t>
      </w:r>
    </w:p>
    <w:p>
      <w:pPr>
        <w:pStyle w:val="Heading3"/>
        <w:jc w:val="left"/>
        <w:spacing w:before="160" w:after="80" w:line="360" w:lineRule="auto"/>
        <w:ind w:firstLine="0"/>
        <w:keepNext/>
      </w:pPr>
      <w:r>
        <w:rPr>
          <w:rFonts w:ascii="Times New Roman" w:hAnsi="Times New Roman" w:eastAsia="SimSun" w:cs="Times New Roman"/>
          <w:sz w:val="24"/>
          <w:szCs w:val="24"/>
          <w:b/>
          <w:bCs/>
          <w:color w:val="000000"/>
        </w:rPr>
        <w:t xml:space="preserve">6.3.1 资源更新流程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[说明新增图层、点位、文献、图片、模型、阶段和算法成果的登记、校验、发布和回滚。]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[说明新增图层、点位、文献、图片、模型、阶段和算法成果的目录登记、格式校验、版本发布和回滚方式。]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6.4 备份、恢复和故障处理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[说明源码、数据库、资源 manifest、模型文件和发布配置的备份策略、恢复步骤、日志记录和常见故障处理。]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6.5 运维边界与支持安排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[填写维护周期、响应方式、第三方在线服务变化、需要算法单位或实体制作单位配合的事项。]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7 结论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7.1 项目建设成果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[概括系统、数据、模型、演示场景、部署包、手册和培训材料的实际交付情况。]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7.2 合同完成情况结论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[依据表 3-2 和附录 A，逐项给出已完成、部分完成、外部待交或实体交付结论；结论不得超出证据。]</w:t>
      </w:r>
    </w:p>
    <w:p>
      <w:pPr>
        <w:pStyle w:val="Heading2"/>
        <w:jc w:val="left"/>
        <w:spacing w:before="240" w:after="100" w:line="360" w:lineRule="auto"/>
        <w:ind w:firstLine="0"/>
        <w:keepNext/>
      </w:pPr>
      <w:r>
        <w:rPr>
          <w:rFonts w:ascii="Times New Roman" w:hAnsi="Times New Roman" w:eastAsia="SimSun" w:cs="Times New Roman"/>
          <w:sz w:val="28"/>
          <w:szCs w:val="28"/>
          <w:b/>
          <w:bCs/>
          <w:color w:val="000000"/>
        </w:rPr>
        <w:t xml:space="preserve">7.3 遗留问题和后续计划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[列出真实算法成果接入、数据完善、离线包、深空场景、UE5 对比、性能优化和内容更新等后续事项。]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参考文献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[按 GB/T 7714 或建设单位指定格式列出合同、论文、NASA/LRO/LPI 数据、在线服务、开源项目和软件文档。]</w:t>
      </w:r>
    </w:p>
    <w:p>
      <w:r>
        <w:br w:type="page"/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附录 A 合同证据矩阵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[将表 3-2 扩展为逐条证据表：合同原文页码、实现位置、数据/模型版本、测试用例、截图编号、责任人和状态。]</w:t>
      </w:r>
    </w:p>
    <w:p>
      <w:pPr>
        <w:jc w:val="center"/>
        <w:spacing w:before="120" w:after="80" w:line="300" w:lineRule="auto"/>
        <w:ind w:firstLine="0"/>
      </w:pPr>
      <w:r>
        <w:rPr>
          <w:rFonts w:ascii="Times New Roman" w:hAnsi="Times New Roman" w:eastAsia="SimSun" w:cs="Times New Roman"/>
          <w:sz w:val="22"/>
          <w:szCs w:val="22"/>
          <w:b/>
          <w:bCs/>
          <w:color w:val="000000"/>
        </w:rPr>
        <w:t xml:space="preserve">表 A-1 合同条款逐条证据登记表</w:t>
      </w:r>
    </w:p>
    <w:tbl>
      <w:tblPr>
        <w:tblW w:w="9000" w:type="dxa"/>
        <w:tblLayout w:type="fixed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700"/>
        <w:gridCol w:w="1200"/>
        <w:gridCol w:w="2700"/>
        <w:gridCol w:w="1700"/>
        <w:gridCol w:w="1300"/>
        <w:gridCol w:w="1200"/>
      </w:tblGrid>
      <w:tr>
        <w:trPr>
          <w:tblHeader/>
        </w:trPr>
        <w:tc>
          <w:tcPr>
            <w:tcW w:w="7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条款</w:t>
            </w:r>
          </w:p>
        </w:tc>
        <w:tc>
          <w:tcPr>
            <w:tcW w:w="12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合同页码</w:t>
            </w:r>
          </w:p>
        </w:tc>
        <w:tc>
          <w:tcPr>
            <w:tcW w:w="27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实现/成果</w:t>
            </w:r>
          </w:p>
        </w:tc>
        <w:tc>
          <w:tcPr>
            <w:tcW w:w="17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证据编号</w:t>
            </w:r>
          </w:p>
        </w:tc>
        <w:tc>
          <w:tcPr>
            <w:tcW w:w="13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责任人</w:t>
            </w:r>
          </w:p>
        </w:tc>
        <w:tc>
          <w:tcPr>
            <w:tcW w:w="1200" w:type="dxa"/>
            <w:vAlign w:val="center"/>
            <w:tcBorders>
              <w:bottom w:val="single" w:sz="6" w:space="0" w:color="000000"/>
            </w:tcBorders>
          </w:tcPr>
          <w:p>
            <w:pPr>
              <w:jc w:val="center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b/>
                <w:bCs/>
                <w:color w:val="000000"/>
              </w:rPr>
              <w:t xml:space="preserve">状态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R01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[E-R01-01]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R02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[E-R02-01]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R03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[E-R03-01]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R04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[E-R04-01]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R05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[E-R05-01]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R06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[E-R06-01]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R07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[E-R07-01]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R08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[E-R08-01]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R09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[E-R09-01]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R10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[E-R10-01]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300" w:lineRule="auto"/>
              <w:ind w:firstLine="0"/>
            </w:pPr>
            <w:r>
              <w:rPr>
                <w:rFonts w:ascii="Times New Roman" w:hAnsi="Times New Roman" w:eastAsia="SimSun" w:cs="Times New Roman"/>
                <w:sz w:val="21"/>
                <w:szCs w:val="21"/>
                <w:color w:val="000000"/>
              </w:rPr>
              <w:t xml:space="preserve">[待填]</w:t>
            </w:r>
          </w:p>
        </w:tc>
      </w:tr>
    </w:tbl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附录 B 功能清单与测试结果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[按 F01—F11 建立测试记录，并与表 3-1 交叉引用。]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附录 C 数据、模型和资源清单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[附资源 manifest：路径、名称、类型、版本、大小、哈希、来源、许可、坐标、分辨率和发布状态。]</w:t>
      </w:r>
    </w:p>
    <w:p>
      <w:pPr>
        <w:pStyle w:val="Heading1"/>
        <w:jc w:val="left"/>
        <w:spacing w:before="360" w:after="160" w:line="360" w:lineRule="auto"/>
        <w:ind w:firstLine="0"/>
        <w:keepNext/>
      </w:pPr>
      <w:r>
        <w:rPr>
          <w:rFonts w:ascii="Times New Roman" w:hAnsi="Times New Roman" w:eastAsia="SimSun" w:cs="Times New Roman"/>
          <w:sz w:val="32"/>
          <w:szCs w:val="32"/>
          <w:b/>
          <w:bCs/>
          <w:color w:val="000000"/>
        </w:rPr>
        <w:t xml:space="preserve">附录 D 部署和版本交付清单</w:t>
      </w:r>
    </w:p>
    <w:p>
      <w:pPr>
        <w:jc w:val="left"/>
        <w:spacing w:before="60" w:after="90" w:line="330" w:lineRule="auto"/>
        <w:ind w:firstLine="480"/>
      </w:pPr>
      <w:r>
        <w:rPr>
          <w:rFonts w:ascii="Times New Roman" w:hAnsi="Times New Roman" w:eastAsia="SimSun" w:cs="Times New Roman"/>
          <w:sz w:val="22"/>
          <w:szCs w:val="22"/>
          <w:i/>
          <w:iCs/>
          <w:color w:val="000000"/>
        </w:rPr>
        <w:t xml:space="preserve">[列源码分支/标签、构建命令、依赖锁定、部署包、备份包、操作手册和第三方说明。]</w:t>
      </w:r>
    </w:p>
    <w:sectPr>
      <w:footerReference w:type="default" r:id="rId3"/>
      <w:pgSz w:w="11906" w:h="16838"/>
      <w:pgMar w:top="1417" w:right="1417" w:bottom="1417" w:left="1701" w:header="720" w:footer="720" w:gutter="0"/>
      <w:cols w:num="1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SimSun"/>
        <w:sz w:val="21"/>
      </w:rPr>
      <w:fldChar w:fldCharType="begin"/>
      <w:instrText xml:space="preserve"> PAGE </w:instrText>
      <w:fldChar w:fldCharType="end"/>
    </w:r>
  </w:p>
</w:ftr>
</file>

<file path=word/settings.xml><?xml version="1.0" encoding="utf-8"?>
<w:settings xmlns:w="http://schemas.openxmlformats.org/wordprocessingml/2006/main">
  <w:zoom w:percent="100"/>
  <w:displayBackgroundShape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sz w:val="24"/>
        <w:szCs w:val="24"/>
        <w:color w:val="000000"/>
      </w:rPr>
    </w:rPrDefault>
    <w:pPrDefault>
      <w:pPr>
        <w:spacing w:line="360" w:lineRule="auto" w:after="120"/>
        <w:jc w:val="left"/>
      </w:pPr>
    </w:pPrDefault>
  </w:docDefaults>
  <w:style w:type="paragraph" w:default="1" w:styleId="Normal">
    <w:name w:val="Normal"/>
    <w:rPr>
      <w:rFonts w:ascii="Times New Roman" w:hAnsi="Times New Roman" w:eastAsia="SimSun" w:cs="Times New Roman"/>
      <w:sz w:val="24"/>
      <w:szCs w:val="24"/>
      <w:color w:val="000000"/>
    </w:rPr>
  </w:style>
  <w:style w:type="paragraph" w:styleId="Title">
    <w:name w:val="Title"/>
    <w:basedOn w:val="Normal"/>
    <w:next w:val="Normal"/>
    <w:jc w:val="center"/>
    <w:rPr>
      <w:rFonts w:ascii="Times New Roman" w:hAnsi="Times New Roman" w:eastAsia="SimSun"/>
      <w:sz w:val="40"/>
      <w:szCs w:val="40"/>
      <w:b/>
      <w:color w:val="000000"/>
    </w:rPr>
  </w:style>
  <w:style w:type="paragraph" w:styleId="Heading1">
    <w:name w:val="heading 1"/>
    <w:basedOn w:val="Normal"/>
    <w:next w:val="Normal"/>
    <w:keepNext/>
    <w:keepLines/>
    <w:spacing w:before="360" w:after="160"/>
    <w:rPr>
      <w:rFonts w:ascii="Times New Roman" w:hAnsi="Times New Roman" w:eastAsia="SimHei"/>
      <w:sz w:val="32"/>
      <w:szCs w:val="32"/>
      <w:b/>
      <w:color w:val="000000"/>
    </w:rPr>
  </w:style>
  <w:style w:type="paragraph" w:styleId="Heading2">
    <w:name w:val="heading 2"/>
    <w:basedOn w:val="Normal"/>
    <w:next w:val="Normal"/>
    <w:keepNext/>
    <w:keepLines/>
    <w:spacing w:before="240" w:after="100"/>
    <w:rPr>
      <w:rFonts w:ascii="Times New Roman" w:hAnsi="Times New Roman" w:eastAsia="SimHei"/>
      <w:sz w:val="28"/>
      <w:szCs w:val="28"/>
      <w:b/>
      <w:color w:val="000000"/>
    </w:rPr>
  </w:style>
  <w:style w:type="paragraph" w:styleId="Heading3">
    <w:name w:val="heading 3"/>
    <w:basedOn w:val="Normal"/>
    <w:next w:val="Normal"/>
    <w:keepNext/>
    <w:keepLines/>
    <w:spacing w:before="160" w:after="80"/>
    <w:rPr>
      <w:rFonts w:ascii="Times New Roman" w:hAnsi="Times New Roman" w:eastAsia="SimHei"/>
      <w:sz w:val="24"/>
      <w:szCs w:val="24"/>
      <w:b/>
      <w:color w:val="0000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月球 Web 科普与模型展示系统 项目结项报告框架</dc:title>
  <dc:subject>合同对应、系统建设与验收证据框架</dc:subject>
  <dc:creator>项目组</dc:creator>
</cp:coreProperties>
</file>