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6"/>
          <w:szCs w:val="26"/>
          <w:u w:val="none"/>
          <w:shd w:fill="auto" w:val="clear"/>
          <w:vertAlign w:val="baseline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Kevin Bryan Leonardo Fierro Cantero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con los requerimientos de la organización y estándares de la industria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a fin de apoyar la toma de decisiones y la mejora de los procesos de negocio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Resolver situaciones problemáticas utilizando operaciones básicas con números, expresiones algebraicas, razonamiento matemático básico, formas y espacio, de acuerdo a requerimiento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Resolver situaciones problemáticas utilizando elementos de las matemáticas discretas y relaciones funcionales, de acuerdo a requerimientos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Resolver situaciones problemáticas utilizando elementos de la estadística descriptiva, de acuerdo a requerimientos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Comunicar en forma oral o escrita, aplicando herramientas lingüístico-pragmáticas y estrategias de comprensión para la solución de problemas comunicativos en contextos académicos o profesionales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Comunicarse de forma oral y escrita usando el idioma inglés en situaciones socio-laborales a un nivel intermedio, según la Tabla de Competencias TOEIC y CEFR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Comunicarse usando el idioma inglés en situaciones laborales a un nivel intermedio relacionado con su área de especialización, según la Tabla de Competencias TOEIC y CEFR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Desarrollar la propia habilidad emprendedora, a través de experiencias en el ámbito de la especialidad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-673098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-673098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B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B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C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C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Mf1gsixtkQUf9d0tBp2WPq4QvQ==">CgMxLjAyCGguZ2pkZ3hzMgloLjMwajB6bGw4AHIhMTJGdjBhWUdkSmJtZU9Ja3RqdUdrQnVOYWRiZDllcktM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