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Kfir Braunstein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Montreal, QC, Canada  |  431-294-5256  |  kfirbr@gmail.com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Manager with 5 years of experience building scalable platform solutions for a B2B2C GovTech SaaS environment, translating diverse municipal and enterprise requests into reusable product systems. Partnered with Engineering, Design, and commercial stakeholders to deliver complex cross-functional features for public-sector and enterprise clients, managing ambiguity and competing priorities with structured judgment. Delivered measurable outcomes including 100%+ contract expansion, $100K+ in incremental ARR, and 18% QoQ usage growth.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Bewith.io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B2B2C SaaS platform serving 100+ municipalities and organizations across North America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1106"/>
        </w:tabs>
        <w:spacing w:after="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Manager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Nov 2021 - Oct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roadmap strategy in partnership with the CPO, using competitive analysis to prioritize platform investments against direct competitors and adjacent products. Directed the development of a scalable roles and permissions system enabling 100%+ expansion of municipal contracts into new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Sales during proposal stages on enterprise deals, identifying product gaps, informing what could realistically be delivered, and making trade-off recommendations that kept commitments aligned with platform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 product requirements and led cross-functional launch of core payments and transaction workflows, managing external API integrations with providers including Stripe and Meta, and compliant audit trails, generating $100K+ in incremental ARR.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Engineering and Design on complex cross-functional features, defining technical requirements, edge cases, and acceptance criteria to deliver solutions that worked across a wide range of client environments and technical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launched self-service configuration workflows, validated through user interviews and usability testing, driving 18% QoQ growth in platform usage and accelerating sales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client onboarding time by 33% (from 9 to 6 days) by mapping workflow bottlenecks through discovery and automating event-based handoffs to accelerate time to first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1106"/>
        </w:tabs>
        <w:spacing w:after="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Customer Success Manager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Feb 2021 - Oct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ARR by 20% by identifying expansion opportunities and upgrading 4 entry-level clients into enterprise-size contracts through structured account reviews and product-led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100% retention across 30+ accounts by monitoring client health, running proactive check-ins, and resolving issues before they escalated into renewal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closely with R&amp;D and Product teams to document recurring client pain points and translate them into actionable product feedback, directly influencing roadmap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Promoted to Product Manager in less than a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Peres Center for Peace and Innovation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Non-Profit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1106"/>
        </w:tabs>
        <w:spacing w:after="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Project Manager and Content Developer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 2018 - Dec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multi-year lecture program with full P&amp;L oversight, budget management, and vendor coordination, delivering all project milestones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designed learning strategies, educational content, and workshops for program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1" w:sz="6" w:val="single"/>
        </w:pBd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Bezalel Academy of Arts and Design,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B.Arch. — Bachelor of Architecture  |  2015 - 2019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Strategy: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Roadmapping, Prioritization, Discovery, Competitive Analysis, Business Cases, OKRs,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Agile &amp; Delivery: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Agile, Scrum, Sprint Planning, Backlog Management, Acceptance Criteria, Cross-functional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API &amp; Integration: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REST APIs, Webhooks, Postman, OAuth2/OIDC, SSO, Data Modeling, 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&amp; Builder 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Claude Code, ChatGPT, Prompt Engineering, Figma Make, Loveable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ClickUp, Intercom, HubSpot,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Product Expertise: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SaaS Products, B2G Products, API Products, Data Platform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6" w:val="single"/>
        </w:pBd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0"/>
          <w:szCs w:val="20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English - Fluent  |  Hebrew - Native  |  French - A2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kfirbraunste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