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bookmarkStart w:id="0" w:name="_Hlk142002488"/>
      <w:r w:rsidRPr="0053080D">
        <w:rPr>
          <w:b/>
          <w:bCs/>
          <w:sz w:val="44"/>
          <w:szCs w:val="44"/>
        </w:rPr>
        <w:t>“Black-box Tests for Algorithmic Stability”</w:t>
      </w:r>
      <w:bookmarkEnd w:id="0"/>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rFonts w:hint="cs"/>
          <w:sz w:val="28"/>
          <w:szCs w:val="28"/>
        </w:rPr>
      </w:pPr>
    </w:p>
    <w:p w:rsidR="003B2AAC" w:rsidRPr="0053080D" w:rsidRDefault="003B2AAC" w:rsidP="00E30EAF">
      <w:pPr>
        <w:bidi w:val="0"/>
        <w:jc w:val="center"/>
        <w:rPr>
          <w:sz w:val="28"/>
          <w:szCs w:val="28"/>
        </w:rPr>
      </w:pPr>
      <w:r w:rsidRPr="0053080D">
        <w:rPr>
          <w:sz w:val="28"/>
          <w:szCs w:val="28"/>
        </w:rPr>
        <w:t>Kfir Levy &amp; Priel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 xml:space="preserve">Abstract </w:t>
      </w:r>
    </w:p>
    <w:p w:rsidR="00BF2C13" w:rsidRDefault="00E00189" w:rsidP="00BF2C13">
      <w:pPr>
        <w:bidi w:val="0"/>
      </w:pPr>
      <w:r>
        <w:t>We based our work on an article</w:t>
      </w:r>
      <w:r w:rsidR="00FA1963">
        <w:t xml:space="preserve"> </w:t>
      </w:r>
      <w:r w:rsidR="00B97818">
        <w:t>"Black-box tests for algorithmic stability"</w:t>
      </w:r>
      <w:r>
        <w:t xml:space="preserve"> (Byol &amp; Kim, 2021)</w:t>
      </w:r>
      <w:r w:rsidR="00B97818">
        <w:t>.</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w:t>
      </w:r>
      <w:r>
        <w:t>. F</w:t>
      </w:r>
      <w:r w:rsidR="00E42D26">
        <w:t>or example, stability is known to lead to desirable generalization properties and predictive inference guarantees. However, many modern algorithms currently used in practice are too complex for a theoretical analysis of their stability properties</w:t>
      </w:r>
      <w:r>
        <w:t>. Therefore,</w:t>
      </w:r>
      <w:r w:rsidR="00E42D26">
        <w:t xml:space="preserve">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E539CD" w:rsidRDefault="00571032" w:rsidP="00E539CD">
      <w:pPr>
        <w:pStyle w:val="ListParagraph"/>
        <w:numPr>
          <w:ilvl w:val="0"/>
          <w:numId w:val="2"/>
        </w:numPr>
        <w:bidi w:val="0"/>
      </w:pPr>
      <w:r>
        <w:lastRenderedPageBreak/>
        <w:t xml:space="preserve">Section 1: Background and problem setup. </w:t>
      </w:r>
    </w:p>
    <w:p w:rsidR="00594A3C" w:rsidRDefault="00594A3C" w:rsidP="00594A3C">
      <w:pPr>
        <w:pStyle w:val="Heading2"/>
        <w:bidi w:val="0"/>
      </w:pPr>
      <w:r>
        <w:t>Conformal prediction -</w:t>
      </w:r>
    </w:p>
    <w:p w:rsidR="00594A3C" w:rsidRDefault="00E539CD" w:rsidP="00594A3C">
      <w:pPr>
        <w:pStyle w:val="ListParagraph"/>
        <w:bidi w:val="0"/>
      </w:pPr>
      <w:r>
        <w:t xml:space="preserve">In this work, we implemented the Conformal prediction algorithm </w:t>
      </w:r>
      <w:r w:rsidR="00C643C2">
        <w:t xml:space="preserve">on a specific medical imaging estimation task. </w:t>
      </w:r>
      <w:r w:rsidR="00C643C2" w:rsidRPr="00C643C2">
        <w:t xml:space="preserve">Conformal prediction (CP) is a statistical technique for producing prediction </w:t>
      </w:r>
      <w:r w:rsidR="00594A3C">
        <w:t>intervals</w:t>
      </w:r>
      <w:r w:rsidR="00C643C2"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rsidR="001355A7">
        <w:t xml:space="preserve">sets (or </w:t>
      </w:r>
      <w:r w:rsidR="00594A3C">
        <w:t>intervals</w:t>
      </w:r>
      <w:r w:rsidR="001355A7">
        <w:t xml:space="preserve"> for a regression estimation)</w:t>
      </w:r>
      <w:r w:rsidR="00C643C2" w:rsidRPr="00C643C2">
        <w:t xml:space="preserve"> on a new (unlabeled) test data point. Conformal prediction requires a user-specified </w:t>
      </w:r>
      <w:r w:rsidR="00C643C2" w:rsidRPr="00C643C2">
        <w:rPr>
          <w:i/>
          <w:iCs/>
        </w:rPr>
        <w:t>significance level</w:t>
      </w:r>
      <w:r w:rsidR="00C643C2" w:rsidRPr="00C643C2">
        <w:t> for which the algorithm should produce its predictions. This significance level restricts the frequency of errors that the algorithm is allowed to make. For example, a significance level of 0.1 means that the algorithm can make </w:t>
      </w:r>
      <w:r w:rsidR="00C643C2" w:rsidRPr="00C643C2">
        <w:rPr>
          <w:i/>
          <w:iCs/>
        </w:rPr>
        <w:t>at most</w:t>
      </w:r>
      <w:r w:rsidR="00C643C2" w:rsidRPr="00C643C2">
        <w:t xml:space="preserve"> 10% erroneous predictions. To meet this requirement, the output is </w:t>
      </w:r>
      <w:r w:rsidR="00594A3C">
        <w:t xml:space="preserve">an </w:t>
      </w:r>
      <w:r w:rsidR="00594A3C">
        <w:rPr>
          <w:b/>
          <w:bCs/>
        </w:rPr>
        <w:t>interval</w:t>
      </w:r>
      <w:r w:rsidR="00C643C2" w:rsidRPr="001355A7">
        <w:rPr>
          <w:b/>
          <w:bCs/>
        </w:rPr>
        <w:t xml:space="preserve"> prediction</w:t>
      </w:r>
      <w:r w:rsidR="00C643C2" w:rsidRPr="00C643C2">
        <w:t>, instead of a</w:t>
      </w:r>
      <w:r w:rsidR="00C643C2" w:rsidRPr="001355A7">
        <w:rPr>
          <w:b/>
          <w:bCs/>
        </w:rPr>
        <w:t> point prediction </w:t>
      </w:r>
      <w:r w:rsidR="00C643C2" w:rsidRPr="00C643C2">
        <w:t>produced by standard </w:t>
      </w:r>
      <w:r w:rsidR="00C643C2" w:rsidRPr="001355A7">
        <w:t>supervised machine learning</w:t>
      </w:r>
      <w:r w:rsidR="00C643C2" w:rsidRPr="00C643C2">
        <w:t xml:space="preserve"> models. For </w:t>
      </w:r>
      <w:r w:rsidR="001355A7">
        <w:t>regression</w:t>
      </w:r>
      <w:r w:rsidR="00C643C2" w:rsidRPr="00C643C2">
        <w:t xml:space="preserve"> tasks, this means that predictions are not a </w:t>
      </w:r>
      <w:r w:rsidR="001355A7">
        <w:t>specific value</w:t>
      </w:r>
      <w:r w:rsidR="00C643C2" w:rsidRPr="00C643C2">
        <w:t>, for example </w:t>
      </w:r>
      <w:r w:rsidR="00594A3C">
        <w:t>34.768</w:t>
      </w:r>
      <w:r w:rsidR="00C643C2" w:rsidRPr="00C643C2">
        <w:t>, but instead a</w:t>
      </w:r>
      <w:r w:rsidR="00594A3C">
        <w:t>n</w:t>
      </w:r>
      <w:r w:rsidR="00C643C2" w:rsidRPr="00C643C2">
        <w:t xml:space="preserve"> </w:t>
      </w:r>
      <w:r w:rsidR="00594A3C">
        <w:t>interval</w:t>
      </w:r>
      <w:r w:rsidR="00C643C2" w:rsidRPr="00C643C2">
        <w:t xml:space="preserve"> </w:t>
      </w:r>
      <w:r w:rsidR="00594A3C">
        <w:t>of 31.56 – 37.67</w:t>
      </w:r>
      <w:r w:rsidR="00C643C2" w:rsidRPr="00C643C2">
        <w:t xml:space="preserve">. Depending on how good the underlying model is (how well it can </w:t>
      </w:r>
      <w:r w:rsidR="00594A3C">
        <w:t>estimate the interval</w:t>
      </w:r>
      <w:r w:rsidR="00C643C2" w:rsidRPr="00C643C2">
        <w:t xml:space="preserve">) and the specified significance level, these </w:t>
      </w:r>
      <w:r w:rsidR="00594A3C">
        <w:t>intervals</w:t>
      </w:r>
      <w:r w:rsidR="00C643C2" w:rsidRPr="00C643C2">
        <w:t xml:space="preserve"> can be smaller or larger. </w:t>
      </w:r>
      <w:r w:rsidR="00594A3C">
        <w:t>T</w:t>
      </w:r>
      <w:r w:rsidR="00C643C2" w:rsidRPr="00C643C2">
        <w:t>he output is prediction intervals, where a smaller significance level (fewer allowed errors) produces wider intervals which are less specific, and vice versa – more allowed errors produce tighter prediction intervals</w:t>
      </w:r>
      <w:r w:rsidR="00594A3C">
        <w:t>.</w:t>
      </w:r>
    </w:p>
    <w:p w:rsidR="00E539CD" w:rsidRDefault="00594A3C" w:rsidP="00594A3C">
      <w:pPr>
        <w:pStyle w:val="Heading2"/>
        <w:bidi w:val="0"/>
      </w:pPr>
      <w:r>
        <w:t xml:space="preserve">IVIM Estimation – </w:t>
      </w:r>
    </w:p>
    <w:p w:rsidR="00E03D8F" w:rsidRDefault="00E03D8F" w:rsidP="00E0073E">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rsidR="00E0073E">
        <w:t xml:space="preserve">. </w:t>
      </w:r>
      <w:r w:rsidR="00DE5A85" w:rsidRPr="00DE5A85">
        <w:t>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Bihan </w:t>
      </w:r>
      <w:r w:rsidR="00DE5A85" w:rsidRPr="00DE5A85">
        <w:rPr>
          <w:i/>
          <w:iCs/>
        </w:rPr>
        <w:t>et al</w:t>
      </w:r>
      <w:r w:rsidR="00DE5A85" w:rsidRPr="00DE5A85">
        <w:t xml:space="preserve">. The idea </w:t>
      </w:r>
      <w:r w:rsidR="00F62955">
        <w:t xml:space="preserve">is </w:t>
      </w:r>
      <w:r w:rsidR="00DE5A85" w:rsidRPr="00DE5A85">
        <w:t>to use diffusion and IVIM magnetic resonance imaging (MRI) to acquire perfusion parameter maps</w:t>
      </w:r>
      <w:r w:rsidR="00F62955">
        <w:t xml:space="preserve">. </w:t>
      </w:r>
      <w:r w:rsidR="00DE5A85" w:rsidRPr="00DE5A85">
        <w:t>IVIM reflects the random microscopic motion of water molecules that occurs in each 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E00189" w:rsidRDefault="00E00189" w:rsidP="00E00189">
      <w:pPr>
        <w:pStyle w:val="ListParagraph"/>
        <w:bidi w:val="0"/>
      </w:pPr>
      <w:r>
        <w:t>The basic IVIM diffusion and perfusion model</w:t>
      </w:r>
      <w:r w:rsidR="00A87109">
        <w:t xml:space="preserve"> </w:t>
      </w:r>
      <w:r w:rsidR="00094881">
        <w:t xml:space="preserve">for the </w:t>
      </w:r>
      <w:r w:rsidR="00A87109">
        <w:t>signal</w:t>
      </w:r>
      <w:r w:rsidR="00094881">
        <w:t xml:space="preserve"> intensity (per pixel)</w:t>
      </w:r>
      <w:r>
        <w:t>:</w:t>
      </w:r>
    </w:p>
    <w:p w:rsidR="00A87109" w:rsidRDefault="00094881" w:rsidP="00A87109">
      <w:pPr>
        <w:pStyle w:val="ListParagraph"/>
        <w:bidi w:val="0"/>
      </w:pPr>
      <m:oMathPara>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E00189" w:rsidRDefault="00E34040" w:rsidP="00E00189">
      <w:pPr>
        <w:pStyle w:val="ListParagraph"/>
        <w:bidi w:val="0"/>
      </w:pPr>
      <w:r>
        <w:t>In this model we have 3 different parameters to estimate for any pixel in MRI image:</w:t>
      </w:r>
    </w:p>
    <w:p w:rsidR="00E34040" w:rsidRDefault="00E34040" w:rsidP="00E34040">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which in simple words are the diffusion and perfusion factors and their proportion in the physical scanned voxel.</w:t>
      </w:r>
    </w:p>
    <w:p w:rsidR="00D729A4" w:rsidRDefault="00D729A4" w:rsidP="00D729A4">
      <w:pPr>
        <w:pStyle w:val="Heading2"/>
        <w:bidi w:val="0"/>
        <w:rPr>
          <w:rFonts w:eastAsiaTheme="minorEastAsia"/>
        </w:rPr>
      </w:pPr>
      <w:r>
        <w:rPr>
          <w:rFonts w:eastAsiaTheme="minorEastAsia"/>
        </w:rPr>
        <w:lastRenderedPageBreak/>
        <w:t>IVIM DNN approach</w:t>
      </w:r>
    </w:p>
    <w:p w:rsidR="00571032" w:rsidRDefault="00D729A4" w:rsidP="00CE6BCC">
      <w:pPr>
        <w:pStyle w:val="ListParagraph"/>
        <w:bidi w:val="0"/>
        <w:rPr>
          <w:rtl/>
        </w:rPr>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proposed a Deep Learning approach to solve the IVIM model's parameters. </w:t>
      </w:r>
      <w:r w:rsidR="00CE1585"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00CE1585"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sidR="0047564A">
        <w:rPr>
          <w:rFonts w:eastAsiaTheme="minorEastAsia"/>
        </w:rPr>
        <w:t>n</w:t>
      </w:r>
      <w:r w:rsidR="00CE1585" w:rsidRPr="00CE1585">
        <w:rPr>
          <w:rFonts w:eastAsiaTheme="minorEastAsia"/>
        </w:rPr>
        <w:t xml:space="preserve"> or using a previously trained networ</w:t>
      </w:r>
      <w:r w:rsidR="0047564A">
        <w:rPr>
          <w:rFonts w:eastAsiaTheme="minorEastAsia"/>
        </w:rPr>
        <w:t>k</w:t>
      </w:r>
      <w:r w:rsidR="00CE1585" w:rsidRPr="00CE1585">
        <w:rPr>
          <w:rFonts w:eastAsiaTheme="minorEastAsia"/>
        </w:rPr>
        <w:t xml:space="preserve">. An Adam optimizer was used for training with the mean squared error between the observed input S(b) and the signal Ŝ(b), reconstructed based on </w:t>
      </w:r>
      <w:r w:rsidR="0047564A">
        <w:rPr>
          <w:rFonts w:eastAsiaTheme="minorEastAsia"/>
        </w:rPr>
        <w:t>the IVIM model</w:t>
      </w:r>
      <w:r w:rsidR="00CE1585"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00CE1585"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E539CD" w:rsidRDefault="00E539CD" w:rsidP="00E539CD">
      <w:pPr>
        <w:bidi w:val="0"/>
        <w:rPr>
          <w:rFonts w:hint="cs"/>
        </w:rPr>
      </w:pPr>
    </w:p>
    <w:p w:rsidR="00571032" w:rsidRDefault="00571032" w:rsidP="00571032">
      <w:pPr>
        <w:bidi w:val="0"/>
      </w:pPr>
      <w:r>
        <w:t xml:space="preserve">• Section 2: The chosen paper. Here you are expected to clearly describe and analyze the work you build upon (“base method”) and discuss its limitations. </w:t>
      </w:r>
    </w:p>
    <w:p w:rsidR="008E16E3" w:rsidRPr="008E16E3" w:rsidRDefault="008E16E3" w:rsidP="008E16E3">
      <w:pPr>
        <w:pStyle w:val="Heading1"/>
        <w:bidi w:val="0"/>
        <w:rPr>
          <w:i/>
          <w:iCs/>
        </w:rPr>
      </w:pPr>
      <w:bookmarkStart w:id="1" w:name="_GoBack"/>
      <w:r w:rsidRPr="008E16E3">
        <w:t xml:space="preserve">The chosen paper </w:t>
      </w:r>
      <w:r w:rsidRPr="008E16E3">
        <w:rPr>
          <w:i/>
          <w:iCs/>
        </w:rPr>
        <w:t>“Black-box Tests for Algorithmic Stability”</w:t>
      </w:r>
    </w:p>
    <w:bookmarkEnd w:id="1"/>
    <w:p w:rsidR="008E16E3" w:rsidRDefault="008E16E3" w:rsidP="008E16E3">
      <w:r>
        <w:t xml:space="preserve"> </w:t>
      </w:r>
    </w:p>
    <w:p w:rsidR="008E16E3" w:rsidRDefault="008E16E3" w:rsidP="008E16E3">
      <w:pPr>
        <w:pStyle w:val="ListParagraph"/>
        <w:bidi w:val="0"/>
      </w:pPr>
    </w:p>
    <w:p w:rsidR="008E16E3" w:rsidRDefault="008E16E3" w:rsidP="008E16E3">
      <w:pPr>
        <w:pStyle w:val="ListParagraph"/>
        <w:bidi w:val="0"/>
      </w:pPr>
    </w:p>
    <w:p w:rsidR="008E16E3" w:rsidRDefault="008E16E3" w:rsidP="008E16E3">
      <w:pPr>
        <w:pStyle w:val="ListParagraph"/>
        <w:bidi w:val="0"/>
      </w:pPr>
    </w:p>
    <w:p w:rsidR="008E16E3" w:rsidRDefault="008E16E3" w:rsidP="008E16E3">
      <w:pPr>
        <w:pStyle w:val="ListParagraph"/>
        <w:bidi w:val="0"/>
      </w:pPr>
    </w:p>
    <w:p w:rsidR="008E16E3" w:rsidRDefault="008E16E3" w:rsidP="008E16E3">
      <w:pPr>
        <w:pStyle w:val="ListParagraph"/>
        <w:bidi w:val="0"/>
      </w:pPr>
    </w:p>
    <w:p w:rsidR="008E16E3" w:rsidRDefault="008E16E3" w:rsidP="008E16E3">
      <w:pPr>
        <w:pStyle w:val="ListParagraph"/>
        <w:bidi w:val="0"/>
      </w:pPr>
    </w:p>
    <w:p w:rsidR="008E16E3" w:rsidRDefault="008E16E3" w:rsidP="008E16E3">
      <w:pPr>
        <w:pStyle w:val="ListParagraph"/>
        <w:bidi w:val="0"/>
      </w:pPr>
    </w:p>
    <w:p w:rsidR="008E16E3" w:rsidRPr="008E16E3" w:rsidRDefault="008E16E3" w:rsidP="008E16E3">
      <w:pPr>
        <w:pStyle w:val="ListParagraph"/>
        <w:bidi w:val="0"/>
      </w:pPr>
    </w:p>
    <w:p w:rsidR="00571032" w:rsidRDefault="00571032" w:rsidP="00571032">
      <w:pPr>
        <w:rPr>
          <w:rFonts w:hint="cs"/>
          <w:rtl/>
        </w:rPr>
      </w:pPr>
      <w:r>
        <w:rPr>
          <w:rFonts w:hint="cs"/>
          <w:rtl/>
        </w:rPr>
        <w:t>להסביר על המאמר, על הרעיון שעומד מאחורי היציבות ולתת את ההגדרות שיש במאמר ולפרט על השימוש בהן בהרצת המודל.</w:t>
      </w:r>
    </w:p>
    <w:p w:rsidR="00571032" w:rsidRDefault="00571032" w:rsidP="00571032">
      <w:pPr>
        <w:bidi w:val="0"/>
      </w:pPr>
      <w:r>
        <w:t xml:space="preserve">• Section 3: Creative extension. This section is the core of the project. Discuss the modifications you suggest for improving the base method. </w:t>
      </w:r>
    </w:p>
    <w:p w:rsidR="00571032" w:rsidRDefault="00571032" w:rsidP="00571032">
      <w:pPr>
        <w:rPr>
          <w:rFonts w:hint="cs"/>
          <w:rtl/>
        </w:rPr>
      </w:pPr>
      <w:r>
        <w:rPr>
          <w:rFonts w:hint="cs"/>
          <w:rtl/>
        </w:rPr>
        <w:t>בחלק הזה נפרט על השימוש ברעיון היציבות והמימוש שלו על ה</w:t>
      </w:r>
      <w:r>
        <w:t>coverage</w:t>
      </w:r>
      <w:r w:rsidR="00EB644B">
        <w:rPr>
          <w:rFonts w:hint="cs"/>
          <w:rtl/>
        </w:rPr>
        <w:t>.</w:t>
      </w:r>
    </w:p>
    <w:p w:rsidR="00571032" w:rsidRDefault="00571032" w:rsidP="00571032">
      <w:pPr>
        <w:bidi w:val="0"/>
      </w:pPr>
    </w:p>
    <w:p w:rsidR="00571032" w:rsidRDefault="00571032" w:rsidP="00571032">
      <w:pPr>
        <w:bidi w:val="0"/>
      </w:pPr>
      <w:r>
        <w:lastRenderedPageBreak/>
        <w:t xml:space="preserve">• Section 4: Results. Provide a detailed performance analysis of your proposal and compare it to the base method, if relevant. </w:t>
      </w:r>
    </w:p>
    <w:p w:rsidR="00571032" w:rsidRDefault="00EB644B" w:rsidP="00EB644B">
      <w:pPr>
        <w:rPr>
          <w:rFonts w:hint="cs"/>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EB644B" w:rsidRDefault="00571032" w:rsidP="00571032">
      <w:pPr>
        <w:bidi w:val="0"/>
      </w:pPr>
      <w:r>
        <w:t>• Section 5: Conclusion and future work. Discuss the limitations of your proposal and suggest future extensions.</w:t>
      </w:r>
    </w:p>
    <w:p w:rsidR="00EB644B" w:rsidRDefault="00EB644B" w:rsidP="00EB644B">
      <w:pPr>
        <w:rPr>
          <w:rtl/>
        </w:rPr>
      </w:pPr>
      <w:r>
        <w:rPr>
          <w:rFonts w:hint="cs"/>
          <w:rtl/>
        </w:rPr>
        <w:t>הסבר מה ניתן לעשות עם זה הלאה.</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571032" w:rsidRDefault="00571032" w:rsidP="00571032">
      <w:pPr>
        <w:bidi w:val="0"/>
      </w:pPr>
      <w:r>
        <w:t>• References. This section should include all the papers you cited throughout the report.</w:t>
      </w:r>
    </w:p>
    <w:p w:rsidR="00E00189" w:rsidRDefault="00E00189" w:rsidP="00E00189">
      <w:pPr>
        <w:bidi w:val="0"/>
      </w:pP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p>
    <w:p w:rsidR="00F102B1" w:rsidRDefault="00E00189" w:rsidP="00F102B1">
      <w:pPr>
        <w:bidi w:val="0"/>
      </w:pPr>
      <w:r>
        <w:rPr>
          <w:rFonts w:ascii="Arial" w:hAnsi="Arial" w:cs="Arial"/>
          <w:color w:val="222222"/>
          <w:sz w:val="20"/>
          <w:szCs w:val="20"/>
          <w:shd w:val="clear" w:color="auto" w:fill="FFFFFF"/>
        </w:rPr>
        <w:t xml:space="preserve">Le Bihan, D., Breton, E., </w:t>
      </w:r>
      <w:proofErr w:type="spellStart"/>
      <w:r>
        <w:rPr>
          <w:rFonts w:ascii="Arial" w:hAnsi="Arial" w:cs="Arial"/>
          <w:color w:val="222222"/>
          <w:sz w:val="20"/>
          <w:szCs w:val="20"/>
          <w:shd w:val="clear" w:color="auto" w:fill="FFFFFF"/>
        </w:rPr>
        <w:t>Lallemand</w:t>
      </w:r>
      <w:proofErr w:type="spellEnd"/>
      <w:r>
        <w:rPr>
          <w:rFonts w:ascii="Arial" w:hAnsi="Arial" w:cs="Arial"/>
          <w:color w:val="222222"/>
          <w:sz w:val="20"/>
          <w:szCs w:val="20"/>
          <w:shd w:val="clear" w:color="auto" w:fill="FFFFFF"/>
        </w:rPr>
        <w:t xml:space="preserve">, D., Aubin, M. L., </w:t>
      </w:r>
      <w:proofErr w:type="spellStart"/>
      <w:r>
        <w:rPr>
          <w:rFonts w:ascii="Arial" w:hAnsi="Arial" w:cs="Arial"/>
          <w:color w:val="222222"/>
          <w:sz w:val="20"/>
          <w:szCs w:val="20"/>
          <w:shd w:val="clear" w:color="auto" w:fill="FFFFFF"/>
        </w:rPr>
        <w:t>Vignaud</w:t>
      </w:r>
      <w:proofErr w:type="spellEnd"/>
      <w:r>
        <w:rPr>
          <w:rFonts w:ascii="Arial" w:hAnsi="Arial" w:cs="Arial"/>
          <w:color w:val="222222"/>
          <w:sz w:val="20"/>
          <w:szCs w:val="20"/>
          <w:shd w:val="clear" w:color="auto" w:fill="FFFFFF"/>
        </w:rPr>
        <w:t>, J., &amp; Laval-</w:t>
      </w:r>
      <w:proofErr w:type="spellStart"/>
      <w:r>
        <w:rPr>
          <w:rFonts w:ascii="Arial" w:hAnsi="Arial" w:cs="Arial"/>
          <w:color w:val="222222"/>
          <w:sz w:val="20"/>
          <w:szCs w:val="20"/>
          <w:shd w:val="clear" w:color="auto" w:fill="FFFFFF"/>
        </w:rPr>
        <w:t>Jeantet</w:t>
      </w:r>
      <w:proofErr w:type="spellEnd"/>
      <w:r>
        <w:rPr>
          <w:rFonts w:ascii="Arial" w:hAnsi="Arial" w:cs="Arial"/>
          <w:color w:val="222222"/>
          <w:sz w:val="20"/>
          <w:szCs w:val="20"/>
          <w:shd w:val="clear" w:color="auto" w:fill="FFFFFF"/>
        </w:rPr>
        <w:t>, M. (1988). Separation of diffusion and perfusion in intravoxel incoherent motion MR imaging. </w:t>
      </w:r>
      <w:r>
        <w:rPr>
          <w:rFonts w:ascii="Arial" w:hAnsi="Arial" w:cs="Arial"/>
          <w:i/>
          <w:iCs/>
          <w:color w:val="222222"/>
          <w:sz w:val="20"/>
          <w:szCs w:val="20"/>
          <w:shd w:val="clear" w:color="auto" w:fill="FFFFFF"/>
        </w:rPr>
        <w:t>Radiology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168</w:t>
      </w:r>
      <w:r>
        <w:rPr>
          <w:rFonts w:ascii="Arial" w:hAnsi="Arial" w:cs="Arial"/>
          <w:color w:val="222222"/>
          <w:sz w:val="20"/>
          <w:szCs w:val="20"/>
          <w:shd w:val="clear" w:color="auto" w:fill="FFFFFF"/>
        </w:rPr>
        <w:t>(2), 497-505.</w:t>
      </w:r>
    </w:p>
    <w:tbl>
      <w:tblPr>
        <w:tblW w:w="6565" w:type="dxa"/>
        <w:shd w:val="clear" w:color="auto" w:fill="FFFFFF"/>
        <w:tblCellMar>
          <w:left w:w="0" w:type="dxa"/>
          <w:right w:w="0" w:type="dxa"/>
        </w:tblCellMar>
        <w:tblLook w:val="04A0" w:firstRow="1" w:lastRow="0" w:firstColumn="1" w:lastColumn="0" w:noHBand="0" w:noVBand="1"/>
      </w:tblPr>
      <w:tblGrid>
        <w:gridCol w:w="6559"/>
        <w:gridCol w:w="6"/>
      </w:tblGrid>
      <w:tr w:rsidR="00D729A4" w:rsidRPr="00D729A4" w:rsidTr="00D729A4">
        <w:trPr>
          <w:gridAfter w:val="1"/>
        </w:trPr>
        <w:tc>
          <w:tcPr>
            <w:tcW w:w="0" w:type="auto"/>
            <w:shd w:val="clear" w:color="auto" w:fill="FFFFFF"/>
            <w:vAlign w:val="center"/>
            <w:hideMark/>
          </w:tcPr>
          <w:p w:rsidR="00D729A4" w:rsidRPr="00D729A4" w:rsidRDefault="00D729A4" w:rsidP="00D729A4">
            <w:pPr>
              <w:bidi w:val="0"/>
              <w:spacing w:after="0" w:line="240" w:lineRule="auto"/>
              <w:rPr>
                <w:rFonts w:ascii="Times New Roman" w:eastAsia="Times New Roman" w:hAnsi="Times New Roman" w:cs="Times New Roman"/>
                <w:sz w:val="24"/>
                <w:szCs w:val="24"/>
              </w:rPr>
            </w:pPr>
          </w:p>
        </w:tc>
      </w:tr>
      <w:tr w:rsidR="00D729A4" w:rsidRPr="00D729A4" w:rsidTr="00D729A4">
        <w:trPr>
          <w:gridAfter w:val="1"/>
        </w:trPr>
        <w:tc>
          <w:tcPr>
            <w:tcW w:w="0" w:type="auto"/>
            <w:shd w:val="clear" w:color="auto" w:fill="FFFFFF"/>
            <w:tcMar>
              <w:top w:w="120" w:type="dxa"/>
              <w:left w:w="0" w:type="dxa"/>
              <w:bottom w:w="120" w:type="dxa"/>
              <w:right w:w="0" w:type="dxa"/>
            </w:tcMar>
            <w:hideMark/>
          </w:tcPr>
          <w:p w:rsidR="00D729A4" w:rsidRPr="00D729A4" w:rsidRDefault="00D729A4" w:rsidP="00D729A4">
            <w:pPr>
              <w:bidi w:val="0"/>
              <w:spacing w:after="0" w:line="240" w:lineRule="auto"/>
              <w:rPr>
                <w:rFonts w:ascii="Arial" w:eastAsia="Times New Roman" w:hAnsi="Arial" w:cs="Arial"/>
                <w:color w:val="222222"/>
                <w:sz w:val="20"/>
                <w:szCs w:val="20"/>
              </w:rPr>
            </w:pPr>
            <w:r w:rsidRPr="00D729A4">
              <w:rPr>
                <w:rFonts w:ascii="Arial" w:eastAsia="Times New Roman" w:hAnsi="Arial" w:cs="Arial"/>
                <w:color w:val="222222"/>
                <w:sz w:val="20"/>
                <w:szCs w:val="20"/>
              </w:rPr>
              <w:t>Barbieri, S., Gurney</w:t>
            </w:r>
            <w:r w:rsidRPr="00D729A4">
              <w:rPr>
                <w:rFonts w:ascii="Cambria Math" w:eastAsia="Times New Roman" w:hAnsi="Cambria Math" w:cs="Cambria Math"/>
                <w:color w:val="222222"/>
                <w:sz w:val="20"/>
                <w:szCs w:val="20"/>
              </w:rPr>
              <w:t>‐</w:t>
            </w:r>
            <w:r w:rsidRPr="00D729A4">
              <w:rPr>
                <w:rFonts w:ascii="Arial" w:eastAsia="Times New Roman" w:hAnsi="Arial" w:cs="Arial"/>
                <w:color w:val="222222"/>
                <w:sz w:val="20"/>
                <w:szCs w:val="20"/>
              </w:rPr>
              <w:t xml:space="preserve">Champion, O. J., </w:t>
            </w:r>
            <w:proofErr w:type="spellStart"/>
            <w:r w:rsidRPr="00D729A4">
              <w:rPr>
                <w:rFonts w:ascii="Arial" w:eastAsia="Times New Roman" w:hAnsi="Arial" w:cs="Arial"/>
                <w:color w:val="222222"/>
                <w:sz w:val="20"/>
                <w:szCs w:val="20"/>
              </w:rPr>
              <w:t>Klaassen</w:t>
            </w:r>
            <w:proofErr w:type="spellEnd"/>
            <w:r w:rsidRPr="00D729A4">
              <w:rPr>
                <w:rFonts w:ascii="Arial" w:eastAsia="Times New Roman" w:hAnsi="Arial" w:cs="Arial"/>
                <w:color w:val="222222"/>
                <w:sz w:val="20"/>
                <w:szCs w:val="20"/>
              </w:rPr>
              <w:t xml:space="preserve">, R., &amp; </w:t>
            </w:r>
            <w:proofErr w:type="spellStart"/>
            <w:r w:rsidRPr="00D729A4">
              <w:rPr>
                <w:rFonts w:ascii="Arial" w:eastAsia="Times New Roman" w:hAnsi="Arial" w:cs="Arial"/>
                <w:color w:val="222222"/>
                <w:sz w:val="20"/>
                <w:szCs w:val="20"/>
              </w:rPr>
              <w:t>Thoeny</w:t>
            </w:r>
            <w:proofErr w:type="spellEnd"/>
            <w:r w:rsidRPr="00D729A4">
              <w:rPr>
                <w:rFonts w:ascii="Arial" w:eastAsia="Times New Roman" w:hAnsi="Arial" w:cs="Arial"/>
                <w:color w:val="222222"/>
                <w:sz w:val="20"/>
                <w:szCs w:val="20"/>
              </w:rPr>
              <w:t>, H. C. (2020). Deep learning how to fit an intravoxel incoherent motion model to diffusion</w:t>
            </w:r>
            <w:r w:rsidRPr="00D729A4">
              <w:rPr>
                <w:rFonts w:ascii="Cambria Math" w:eastAsia="Times New Roman" w:hAnsi="Cambria Math" w:cs="Cambria Math"/>
                <w:color w:val="222222"/>
                <w:sz w:val="20"/>
                <w:szCs w:val="20"/>
              </w:rPr>
              <w:t>‐</w:t>
            </w:r>
            <w:r w:rsidRPr="00D729A4">
              <w:rPr>
                <w:rFonts w:ascii="Arial" w:eastAsia="Times New Roman" w:hAnsi="Arial" w:cs="Arial"/>
                <w:color w:val="222222"/>
                <w:sz w:val="20"/>
                <w:szCs w:val="20"/>
              </w:rPr>
              <w:t>weighted MRI. </w:t>
            </w:r>
            <w:r w:rsidRPr="00D729A4">
              <w:rPr>
                <w:rFonts w:ascii="Arial" w:eastAsia="Times New Roman" w:hAnsi="Arial" w:cs="Arial"/>
                <w:i/>
                <w:iCs/>
                <w:color w:val="222222"/>
                <w:sz w:val="20"/>
                <w:szCs w:val="20"/>
              </w:rPr>
              <w:t>Magnetic resonance in medicine</w:t>
            </w:r>
            <w:r w:rsidRPr="00D729A4">
              <w:rPr>
                <w:rFonts w:ascii="Arial" w:eastAsia="Times New Roman" w:hAnsi="Arial" w:cs="Arial"/>
                <w:color w:val="222222"/>
                <w:sz w:val="20"/>
                <w:szCs w:val="20"/>
              </w:rPr>
              <w:t>, </w:t>
            </w:r>
            <w:r w:rsidRPr="00D729A4">
              <w:rPr>
                <w:rFonts w:ascii="Arial" w:eastAsia="Times New Roman" w:hAnsi="Arial" w:cs="Arial"/>
                <w:i/>
                <w:iCs/>
                <w:color w:val="222222"/>
                <w:sz w:val="20"/>
                <w:szCs w:val="20"/>
              </w:rPr>
              <w:t>83</w:t>
            </w:r>
            <w:r w:rsidRPr="00D729A4">
              <w:rPr>
                <w:rFonts w:ascii="Arial" w:eastAsia="Times New Roman" w:hAnsi="Arial" w:cs="Arial"/>
                <w:color w:val="222222"/>
                <w:sz w:val="20"/>
                <w:szCs w:val="20"/>
              </w:rPr>
              <w:t>(1), 312-321.</w:t>
            </w:r>
          </w:p>
        </w:tc>
      </w:tr>
      <w:tr w:rsidR="00D729A4" w:rsidRPr="00D729A4" w:rsidTr="00D729A4">
        <w:tc>
          <w:tcPr>
            <w:tcW w:w="0" w:type="auto"/>
            <w:shd w:val="clear" w:color="auto" w:fill="FFFFFF"/>
            <w:noWrap/>
            <w:tcMar>
              <w:top w:w="120" w:type="dxa"/>
              <w:left w:w="0" w:type="dxa"/>
              <w:bottom w:w="120" w:type="dxa"/>
              <w:right w:w="240" w:type="dxa"/>
            </w:tcMar>
            <w:hideMark/>
          </w:tcPr>
          <w:p w:rsidR="00D729A4" w:rsidRPr="00D729A4" w:rsidRDefault="00D729A4" w:rsidP="00D729A4">
            <w:pPr>
              <w:bidi w:val="0"/>
              <w:spacing w:after="0" w:line="240" w:lineRule="auto"/>
              <w:jc w:val="right"/>
              <w:rPr>
                <w:rFonts w:ascii="Arial" w:eastAsia="Times New Roman" w:hAnsi="Arial" w:cs="Arial"/>
                <w:color w:val="777777"/>
                <w:sz w:val="20"/>
                <w:szCs w:val="20"/>
              </w:rPr>
            </w:pPr>
            <w:r w:rsidRPr="00D729A4">
              <w:rPr>
                <w:rFonts w:ascii="Arial" w:eastAsia="Times New Roman" w:hAnsi="Arial" w:cs="Arial"/>
                <w:color w:val="777777"/>
                <w:sz w:val="20"/>
                <w:szCs w:val="20"/>
              </w:rPr>
              <w:t>Chicago</w:t>
            </w:r>
          </w:p>
        </w:tc>
        <w:tc>
          <w:tcPr>
            <w:tcW w:w="0" w:type="auto"/>
            <w:shd w:val="clear" w:color="auto" w:fill="FFFFFF"/>
            <w:tcMar>
              <w:top w:w="120" w:type="dxa"/>
              <w:left w:w="0" w:type="dxa"/>
              <w:bottom w:w="120" w:type="dxa"/>
              <w:right w:w="0" w:type="dxa"/>
            </w:tcMar>
            <w:hideMark/>
          </w:tcPr>
          <w:p w:rsidR="00D729A4" w:rsidRPr="00D729A4" w:rsidRDefault="00D729A4" w:rsidP="00D729A4">
            <w:pPr>
              <w:bidi w:val="0"/>
              <w:spacing w:after="0" w:line="240" w:lineRule="auto"/>
              <w:jc w:val="right"/>
              <w:rPr>
                <w:rFonts w:ascii="Arial" w:eastAsia="Times New Roman" w:hAnsi="Arial" w:cs="Arial"/>
                <w:color w:val="777777"/>
                <w:sz w:val="20"/>
                <w:szCs w:val="20"/>
              </w:rPr>
            </w:pPr>
          </w:p>
        </w:tc>
      </w:tr>
    </w:tbl>
    <w:p w:rsidR="00D729A4" w:rsidRPr="00571032" w:rsidRDefault="00D729A4" w:rsidP="00D729A4">
      <w:pPr>
        <w:bidi w:val="0"/>
        <w:rPr>
          <w:rFonts w:hint="cs"/>
          <w:rtl/>
        </w:rPr>
      </w:pPr>
    </w:p>
    <w:sectPr w:rsidR="00D729A4"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94881"/>
    <w:rsid w:val="001355A7"/>
    <w:rsid w:val="003B2AAC"/>
    <w:rsid w:val="00466F69"/>
    <w:rsid w:val="0047564A"/>
    <w:rsid w:val="004847C8"/>
    <w:rsid w:val="004E3EDC"/>
    <w:rsid w:val="00514F2E"/>
    <w:rsid w:val="0053080D"/>
    <w:rsid w:val="00571032"/>
    <w:rsid w:val="00594A3C"/>
    <w:rsid w:val="005D6196"/>
    <w:rsid w:val="007146F3"/>
    <w:rsid w:val="007C1762"/>
    <w:rsid w:val="007C7BAC"/>
    <w:rsid w:val="008E16E3"/>
    <w:rsid w:val="009C6C88"/>
    <w:rsid w:val="00A87109"/>
    <w:rsid w:val="00B10D57"/>
    <w:rsid w:val="00B77607"/>
    <w:rsid w:val="00B97818"/>
    <w:rsid w:val="00BF2C13"/>
    <w:rsid w:val="00C643C2"/>
    <w:rsid w:val="00CD1B21"/>
    <w:rsid w:val="00CE1585"/>
    <w:rsid w:val="00CE6BCC"/>
    <w:rsid w:val="00D729A4"/>
    <w:rsid w:val="00DE5A85"/>
    <w:rsid w:val="00E00189"/>
    <w:rsid w:val="00E0073E"/>
    <w:rsid w:val="00E03D8F"/>
    <w:rsid w:val="00E30EAF"/>
    <w:rsid w:val="00E34040"/>
    <w:rsid w:val="00E42D26"/>
    <w:rsid w:val="00E539CD"/>
    <w:rsid w:val="00EB644B"/>
    <w:rsid w:val="00F102B1"/>
    <w:rsid w:val="00F53BD6"/>
    <w:rsid w:val="00F62955"/>
    <w:rsid w:val="00FA1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45B0"/>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66969">
      <w:bodyDiv w:val="1"/>
      <w:marLeft w:val="0"/>
      <w:marRight w:val="0"/>
      <w:marTop w:val="0"/>
      <w:marBottom w:val="0"/>
      <w:divBdr>
        <w:top w:val="none" w:sz="0" w:space="0" w:color="auto"/>
        <w:left w:val="none" w:sz="0" w:space="0" w:color="auto"/>
        <w:bottom w:val="none" w:sz="0" w:space="0" w:color="auto"/>
        <w:right w:val="none" w:sz="0" w:space="0" w:color="auto"/>
      </w:divBdr>
      <w:divsChild>
        <w:div w:id="1835029745">
          <w:marLeft w:val="0"/>
          <w:marRight w:val="0"/>
          <w:marTop w:val="0"/>
          <w:marBottom w:val="0"/>
          <w:divBdr>
            <w:top w:val="none" w:sz="0" w:space="0" w:color="auto"/>
            <w:left w:val="none" w:sz="0" w:space="0" w:color="auto"/>
            <w:bottom w:val="none" w:sz="0" w:space="0" w:color="auto"/>
            <w:right w:val="none" w:sz="0" w:space="0" w:color="auto"/>
          </w:divBdr>
        </w:div>
      </w:divsChild>
    </w:div>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6389</TotalTime>
  <Pages>5</Pages>
  <Words>1416</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ShiraR</cp:lastModifiedBy>
  <cp:revision>21</cp:revision>
  <dcterms:created xsi:type="dcterms:W3CDTF">2023-07-30T11:18:00Z</dcterms:created>
  <dcterms:modified xsi:type="dcterms:W3CDTF">2023-08-03T21:48:00Z</dcterms:modified>
</cp:coreProperties>
</file>