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r>
        <w:rPr>
          <w:rFonts w:ascii="Arial" w:cs="Arial" w:eastAsia="Arial" w:hAnsi="Arial"/>
          <w:b/>
          <w:bCs/>
          <w:color w:val="1A237E"/>
          <w:sz w:val="56"/>
          <w:szCs w:val="56"/>
        </w:rPr>
        <w:t xml:space="preserve">🛰️  KESTREL AI</w:t>
      </w:r>
    </w:p>
    <w:p>
      <w:pPr>
        <w:pBdr>
          <w:bottom w:val="single" w:color="00838F" w:sz="12" w:space="1"/>
        </w:pBdr>
        <w:spacing w:after="240"/>
      </w:pPr>
      <w:r>
        <w:rPr>
          <w:rFonts w:ascii="Arial" w:cs="Arial" w:eastAsia="Arial" w:hAnsi="Arial"/>
          <w:b/>
          <w:bCs/>
          <w:color w:val="00838F"/>
          <w:sz w:val="28"/>
          <w:szCs w:val="28"/>
        </w:rPr>
        <w:t xml:space="preserve">Satellite Object Detection — Bootstrapped AI Pipeline</w:t>
      </w:r>
    </w:p>
    <w:p>
      <w:pPr>
        <w:spacing w:after="80"/>
      </w:pPr>
      <w:r>
        <w:rPr>
          <w:rFonts w:ascii="Arial" w:cs="Arial" w:eastAsia="Arial" w:hAnsi="Arial"/>
          <w:b/>
          <w:bCs/>
          <w:color w:val="1565C0"/>
          <w:sz w:val="48"/>
          <w:szCs w:val="48"/>
        </w:rPr>
        <w:t xml:space="preserve">GO-TO-MARKET STRATEGY</w:t>
      </w:r>
    </w:p>
    <w:p>
      <w:pPr>
        <w:spacing w:after="480"/>
      </w:pPr>
      <w:r>
        <w:rPr>
          <w:rFonts w:ascii="Arial" w:cs="Arial" w:eastAsia="Arial" w:hAnsi="Arial"/>
          <w:i/>
          <w:iCs/>
          <w:color w:val="546E7A"/>
          <w:sz w:val="26"/>
          <w:szCs w:val="26"/>
        </w:rPr>
        <w:t xml:space="preserve">Startups · Small Business · AI Agents · LLM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37E" w:sz="1"/>
              <w:left w:val="single" w:color="1A237E" w:sz="1"/>
              <w:bottom w:val="single" w:color="1A237E" w:sz="1"/>
              <w:right w:val="single" w:color="1A237E" w:sz="1"/>
            </w:tcBorders>
            <w:shd w:fill="E8F0FE" w:val="clear"/>
            <w:tcMar>
              <w:top w:type="dxa" w:w="160"/>
              <w:left w:type="dxa" w:w="120"/>
              <w:bottom w:type="dxa" w:w="160"/>
              <w:right w:type="dxa" w:w="120"/>
            </w:tcMar>
            <w:vAlign w:val="center"/>
          </w:tcPr>
          <w:p>
            <w:pPr>
              <w:jc w:val="center"/>
            </w:pPr>
            <w:r>
              <w:rPr>
                <w:rFonts w:ascii="Arial" w:cs="Arial" w:eastAsia="Arial" w:hAnsi="Arial"/>
                <w:b/>
                <w:bCs/>
                <w:color w:val="1A237E"/>
                <w:sz w:val="40"/>
                <w:szCs w:val="40"/>
              </w:rPr>
              <w:t xml:space="preserve">$18.6B</w:t>
            </w:r>
          </w:p>
          <w:p>
            <w:pPr>
              <w:jc w:val="center"/>
            </w:pPr>
            <w:r>
              <w:rPr>
                <w:rFonts w:ascii="Arial" w:cs="Arial" w:eastAsia="Arial" w:hAnsi="Arial"/>
                <w:color w:val="546E7A"/>
                <w:sz w:val="18"/>
                <w:szCs w:val="18"/>
              </w:rPr>
              <w:t xml:space="preserve">Satellite Imagery Market by 2034</w:t>
            </w:r>
          </w:p>
        </w:tc>
        <w:tc>
          <w:tcPr>
            <w:tcW w:type="dxa" w:w="2340"/>
            <w:tcBorders>
              <w:top w:val="single" w:color="1565C0" w:sz="1"/>
              <w:left w:val="single" w:color="1565C0" w:sz="1"/>
              <w:bottom w:val="single" w:color="1565C0" w:sz="1"/>
              <w:right w:val="single" w:color="1565C0" w:sz="1"/>
            </w:tcBorders>
            <w:shd w:fill="E8F0FE" w:val="clear"/>
            <w:tcMar>
              <w:top w:type="dxa" w:w="160"/>
              <w:left w:type="dxa" w:w="120"/>
              <w:bottom w:type="dxa" w:w="160"/>
              <w:right w:type="dxa" w:w="120"/>
            </w:tcMar>
            <w:vAlign w:val="center"/>
          </w:tcPr>
          <w:p>
            <w:pPr>
              <w:jc w:val="center"/>
            </w:pPr>
            <w:r>
              <w:rPr>
                <w:rFonts w:ascii="Arial" w:cs="Arial" w:eastAsia="Arial" w:hAnsi="Arial"/>
                <w:b/>
                <w:bCs/>
                <w:color w:val="1565C0"/>
                <w:sz w:val="40"/>
                <w:szCs w:val="40"/>
              </w:rPr>
              <w:t xml:space="preserve">10.9%</w:t>
            </w:r>
          </w:p>
          <w:p>
            <w:pPr>
              <w:jc w:val="center"/>
            </w:pPr>
            <w:r>
              <w:rPr>
                <w:rFonts w:ascii="Arial" w:cs="Arial" w:eastAsia="Arial" w:hAnsi="Arial"/>
                <w:color w:val="546E7A"/>
                <w:sz w:val="18"/>
                <w:szCs w:val="18"/>
              </w:rPr>
              <w:t xml:space="preserve">CAGR — Insurance Analytics 2025–30</w:t>
            </w:r>
          </w:p>
        </w:tc>
        <w:tc>
          <w:tcPr>
            <w:tcW w:type="dxa" w:w="2340"/>
            <w:tcBorders>
              <w:top w:val="single" w:color="00838F" w:sz="1"/>
              <w:left w:val="single" w:color="00838F" w:sz="1"/>
              <w:bottom w:val="single" w:color="00838F" w:sz="1"/>
              <w:right w:val="single" w:color="00838F" w:sz="1"/>
            </w:tcBorders>
            <w:shd w:fill="E8F0FE" w:val="clear"/>
            <w:tcMar>
              <w:top w:type="dxa" w:w="160"/>
              <w:left w:type="dxa" w:w="120"/>
              <w:bottom w:type="dxa" w:w="160"/>
              <w:right w:type="dxa" w:w="120"/>
            </w:tcMar>
            <w:vAlign w:val="center"/>
          </w:tcPr>
          <w:p>
            <w:pPr>
              <w:jc w:val="center"/>
            </w:pPr>
            <w:r>
              <w:rPr>
                <w:rFonts w:ascii="Arial" w:cs="Arial" w:eastAsia="Arial" w:hAnsi="Arial"/>
                <w:b/>
                <w:bCs/>
                <w:color w:val="00838F"/>
                <w:sz w:val="40"/>
                <w:szCs w:val="40"/>
              </w:rPr>
              <w:t xml:space="preserve">6×</w:t>
            </w:r>
          </w:p>
          <w:p>
            <w:pPr>
              <w:jc w:val="center"/>
            </w:pPr>
            <w:r>
              <w:rPr>
                <w:rFonts w:ascii="Arial" w:cs="Arial" w:eastAsia="Arial" w:hAnsi="Arial"/>
                <w:color w:val="546E7A"/>
                <w:sz w:val="18"/>
                <w:szCs w:val="18"/>
              </w:rPr>
              <w:t xml:space="preserve">Higher Conversion from LLM Traffic vs Google</w:t>
            </w:r>
          </w:p>
        </w:tc>
        <w:tc>
          <w:tcPr>
            <w:tcW w:type="dxa" w:w="2340"/>
            <w:tcBorders>
              <w:top w:val="single" w:color="2E7D32" w:sz="1"/>
              <w:left w:val="single" w:color="2E7D32" w:sz="1"/>
              <w:bottom w:val="single" w:color="2E7D32" w:sz="1"/>
              <w:right w:val="single" w:color="2E7D32" w:sz="1"/>
            </w:tcBorders>
            <w:shd w:fill="E8F0FE" w:val="clear"/>
            <w:tcMar>
              <w:top w:type="dxa" w:w="160"/>
              <w:left w:type="dxa" w:w="120"/>
              <w:bottom w:type="dxa" w:w="160"/>
              <w:right w:type="dxa" w:w="120"/>
            </w:tcMar>
            <w:vAlign w:val="center"/>
          </w:tcPr>
          <w:p>
            <w:pPr>
              <w:jc w:val="center"/>
            </w:pPr>
            <w:r>
              <w:rPr>
                <w:rFonts w:ascii="Arial" w:cs="Arial" w:eastAsia="Arial" w:hAnsi="Arial"/>
                <w:b/>
                <w:bCs/>
                <w:color w:val="2E7D32"/>
                <w:sz w:val="40"/>
                <w:szCs w:val="40"/>
              </w:rPr>
              <w:t xml:space="preserve">$500</w:t>
            </w:r>
          </w:p>
          <w:p>
            <w:pPr>
              <w:jc w:val="center"/>
            </w:pPr>
            <w:r>
              <w:rPr>
                <w:rFonts w:ascii="Arial" w:cs="Arial" w:eastAsia="Arial" w:hAnsi="Arial"/>
                <w:color w:val="546E7A"/>
                <w:sz w:val="18"/>
                <w:szCs w:val="18"/>
              </w:rPr>
              <w:t xml:space="preserve">Total Bootstrap Budget (Phase 1)</w:t>
            </w:r>
          </w:p>
        </w:tc>
      </w:tr>
    </w:tbl>
    <w:p>
      <w:pPr>
        <w:spacing w:after="240"/>
      </w:pPr>
    </w:p>
    <w:p>
      <w:pPr>
        <w:spacing w:after="40"/>
      </w:pPr>
      <w:r>
        <w:rPr>
          <w:rFonts w:ascii="Arial" w:cs="Arial" w:eastAsia="Arial" w:hAnsi="Arial"/>
          <w:i/>
          <w:iCs/>
          <w:color w:val="546E7A"/>
          <w:sz w:val="18"/>
          <w:szCs w:val="18"/>
        </w:rPr>
        <w:t xml:space="preserve">Confidential — February 2026</w:t>
      </w:r>
    </w:p>
    <w:p>
      <w:r>
        <w:br w:type="page"/>
      </w:r>
    </w:p>
    <w:p>
      <w:pPr>
        <w:pStyle w:val="Heading1"/>
        <w:spacing w:before="400" w:after="160"/>
      </w:pPr>
      <w:r>
        <w:rPr>
          <w:rFonts w:ascii="Arial" w:cs="Arial" w:eastAsia="Arial" w:hAnsi="Arial"/>
          <w:b/>
          <w:bCs/>
          <w:color w:val="1A237E"/>
          <w:sz w:val="36"/>
          <w:szCs w:val="36"/>
        </w:rPr>
        <w:t xml:space="preserve">1. Executive Summary</w:t>
      </w:r>
    </w:p>
    <w:p>
      <w:pPr>
        <w:pBdr>
          <w:bottom w:val="single" w:color="1565C0" w:sz="6" w:space="1"/>
        </w:pBdr>
        <w:spacing w:after="200"/>
      </w:pPr>
    </w:p>
    <w:p>
      <w:pPr>
        <w:spacing w:after="120"/>
      </w:pPr>
      <w:r>
        <w:rPr>
          <w:rFonts w:ascii="Arial" w:cs="Arial" w:eastAsia="Arial" w:hAnsi="Arial"/>
          <w:color w:val="212121"/>
          <w:sz w:val="22"/>
          <w:szCs w:val="22"/>
        </w:rPr>
        <w:t xml:space="preserve">Kestrel AI is a bootstrapped satellite object detection SaaS that converts free satellite imagery into production-ready AI detectors with minimal human labeling — cutting dataset costs by 10× compared to traditional approaches. The platform targets two converging markets: commercial insurance/risk assessment and government/defense intelligence.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F0FE" w:val="clear"/>
            <w:tcMar>
              <w:top w:type="dxa" w:w="160"/>
              <w:left w:type="dxa" w:w="200"/>
              <w:bottom w:type="dxa" w:w="160"/>
              <w:right w:type="dxa" w:w="200"/>
            </w:tcMar>
          </w:tcPr>
          <w:p>
            <w:pPr>
              <w:spacing w:after="60"/>
            </w:pPr>
            <w:r>
              <w:rPr>
                <w:rFonts w:ascii="Arial" w:cs="Arial" w:eastAsia="Arial" w:hAnsi="Arial"/>
                <w:b/>
                <w:bCs/>
                <w:color w:val="1A237E"/>
                <w:sz w:val="22"/>
                <w:szCs w:val="22"/>
              </w:rPr>
              <w:t xml:space="preserve">The Problem: </w:t>
            </w:r>
            <w:r>
              <w:rPr>
                <w:rFonts w:ascii="Arial" w:cs="Arial" w:eastAsia="Arial" w:hAnsi="Arial"/>
                <w:b w:val="false"/>
                <w:bCs w:val="false"/>
                <w:color w:val="212121"/>
                <w:sz w:val="22"/>
                <w:szCs w:val="22"/>
              </w:rPr>
              <w:t xml:space="preserve"> Mid-market insurance companies, regional government agencies, and dual-use defense contractors need satellite intelligence but cannot afford Maxar ($500K+ contracts) or Planet Labs ($200K+). They are being left behind while enterprise players consolidate.</w:t>
            </w:r>
          </w:p>
          <w:p>
            <w:pPr>
              <w:spacing w:after="60"/>
            </w:pPr>
            <w:r>
              <w:rPr>
                <w:rFonts w:ascii="Arial" w:cs="Arial" w:eastAsia="Arial" w:hAnsi="Arial"/>
                <w:b/>
                <w:bCs/>
                <w:color w:val="1A237E"/>
                <w:sz w:val="22"/>
                <w:szCs w:val="22"/>
              </w:rPr>
              <w:t xml:space="preserve">The Solution: </w:t>
            </w:r>
            <w:r>
              <w:rPr>
                <w:rFonts w:ascii="Arial" w:cs="Arial" w:eastAsia="Arial" w:hAnsi="Arial"/>
                <w:b w:val="false"/>
                <w:bCs w:val="false"/>
                <w:color w:val="212121"/>
                <w:sz w:val="22"/>
                <w:szCs w:val="22"/>
              </w:rPr>
              <w:t xml:space="preserve"> Kestrel AI's bootstrapping pipeline creates custom object detectors from scratch — buildings, vehicles, aircraft, ships — using active learning that gets smarter with every human label. Customers get enterprise-grade detection at startup prices.</w:t>
            </w:r>
          </w:p>
          <w:p>
            <w:pPr>
              <w:spacing w:after="60"/>
            </w:pPr>
            <w:r>
              <w:rPr>
                <w:rFonts w:ascii="Arial" w:cs="Arial" w:eastAsia="Arial" w:hAnsi="Arial"/>
                <w:b/>
                <w:bCs/>
                <w:color w:val="1A237E"/>
                <w:sz w:val="22"/>
                <w:szCs w:val="22"/>
              </w:rPr>
              <w:t xml:space="preserve">The Moat: </w:t>
            </w:r>
            <w:r>
              <w:rPr>
                <w:rFonts w:ascii="Arial" w:cs="Arial" w:eastAsia="Arial" w:hAnsi="Arial"/>
                <w:b w:val="false"/>
                <w:bCs w:val="false"/>
                <w:color w:val="212121"/>
                <w:sz w:val="22"/>
                <w:szCs w:val="22"/>
              </w:rPr>
              <w:t xml:space="preserve"> 17 years of national security domain expertise translates directly into credible government positioning, defensible false-negative quantification models (a metric enterprise competitors do not offer), and authentic dual-use credibility.</w:t>
            </w:r>
          </w:p>
        </w:tc>
      </w:tr>
    </w:tbl>
    <w:p>
      <w:pPr>
        <w:spacing w:after="200"/>
      </w:pPr>
    </w:p>
    <w:p>
      <w:pPr>
        <w:spacing w:after="120"/>
      </w:pPr>
      <w:r>
        <w:rPr>
          <w:rFonts w:ascii="Arial" w:cs="Arial" w:eastAsia="Arial" w:hAnsi="Arial"/>
          <w:color w:val="212121"/>
          <w:sz w:val="22"/>
          <w:szCs w:val="22"/>
        </w:rPr>
        <w:t xml:space="preserve">This document defines a three-phase go-to-market strategy targeting startups and SMBs as entry-level customers, AI agents as a distribution channel, and LLM discovery (Answer Engine Optimization) as the primary top-of-funnel for the next generation of search.</w:t>
      </w:r>
    </w:p>
    <w:p>
      <w:r>
        <w:br w:type="page"/>
      </w:r>
    </w:p>
    <w:p>
      <w:pPr>
        <w:pStyle w:val="Heading1"/>
        <w:spacing w:before="400" w:after="160"/>
      </w:pPr>
      <w:r>
        <w:rPr>
          <w:rFonts w:ascii="Arial" w:cs="Arial" w:eastAsia="Arial" w:hAnsi="Arial"/>
          <w:b/>
          <w:bCs/>
          <w:color w:val="1A237E"/>
          <w:sz w:val="36"/>
          <w:szCs w:val="36"/>
        </w:rPr>
        <w:t xml:space="preserve">2. Market Opportunity</w:t>
      </w:r>
    </w:p>
    <w:p>
      <w:pPr>
        <w:pBdr>
          <w:bottom w:val="single" w:color="1565C0" w:sz="6" w:space="1"/>
        </w:pBdr>
        <w:spacing w:after="200"/>
      </w:pPr>
    </w:p>
    <w:p>
      <w:pPr>
        <w:pStyle w:val="Heading2"/>
        <w:spacing w:before="320" w:after="120"/>
      </w:pPr>
      <w:r>
        <w:rPr>
          <w:rFonts w:ascii="Arial" w:cs="Arial" w:eastAsia="Arial" w:hAnsi="Arial"/>
          <w:b/>
          <w:bCs/>
          <w:color w:val="1565C0"/>
          <w:sz w:val="28"/>
          <w:szCs w:val="28"/>
        </w:rPr>
        <w:t xml:space="preserve">2.1 Total Addressable Market</w:t>
      </w:r>
    </w:p>
    <w:p>
      <w:pPr>
        <w:spacing w:after="120"/>
      </w:pPr>
      <w:r>
        <w:rPr>
          <w:rFonts w:ascii="Arial" w:cs="Arial" w:eastAsia="Arial" w:hAnsi="Arial"/>
          <w:color w:val="212121"/>
          <w:sz w:val="22"/>
          <w:szCs w:val="22"/>
        </w:rPr>
        <w:t xml:space="preserve">Three overlapping market tailwinds create a compounding opportunity for Kestrel AI: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Market Segment</w:t>
            </w:r>
          </w:p>
        </w:tc>
        <w:tc>
          <w:tcPr>
            <w:tcW w:type="dxa" w:w="63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2025 Size → 2030 Projection</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Satellite Imagery</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$3.4B → $15.8B (18.6% CAGR)</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Geospatial Analytics</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$12.1B → $18.6B (8.9% CAGR)</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AI in Insurance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$10.8B → $176.6B (32% CAGR to 2035)</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AI Agri-Insurance Risk</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$3.4B → $48.7B (30.5% CAGR)</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Insurance Imagery Analytics</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Fastest-growing sub-segment at 10.9% CAGR</w:t>
            </w:r>
          </w:p>
        </w:tc>
      </w:tr>
    </w:tbl>
    <w:p>
      <w:pPr>
        <w:spacing w:after="200"/>
      </w:pPr>
    </w:p>
    <w:p>
      <w:pPr>
        <w:pStyle w:val="Heading2"/>
        <w:spacing w:before="320" w:after="120"/>
      </w:pPr>
      <w:r>
        <w:rPr>
          <w:rFonts w:ascii="Arial" w:cs="Arial" w:eastAsia="Arial" w:hAnsi="Arial"/>
          <w:b/>
          <w:bCs/>
          <w:color w:val="1565C0"/>
          <w:sz w:val="28"/>
          <w:szCs w:val="28"/>
        </w:rPr>
        <w:t xml:space="preserve">2.2 Beachhead Market — Who Kestrel Serves First</w:t>
      </w:r>
    </w:p>
    <w:p>
      <w:pPr>
        <w:spacing w:after="120"/>
      </w:pPr>
      <w:r>
        <w:rPr>
          <w:rFonts w:ascii="Arial" w:cs="Arial" w:eastAsia="Arial" w:hAnsi="Arial"/>
          <w:color w:val="212121"/>
          <w:sz w:val="22"/>
          <w:szCs w:val="22"/>
        </w:rPr>
        <w:t xml:space="preserve">The initial target is the underserved middle layer of the geospatial market — companies too large for manual analysis but too small for Maxar-tier contracts:</w:t>
      </w:r>
    </w:p>
    <w:p>
      <w:pPr>
        <w:spacing w:after="80"/>
      </w:pPr>
    </w:p>
    <w:p>
      <w:pPr>
        <w:pStyle w:val="ListParagraph"/>
        <w:numPr>
          <w:ilvl w:val="0"/>
          <w:numId w:val="2"/>
        </w:numPr>
        <w:spacing w:after="80"/>
      </w:pPr>
      <w:r>
        <w:rPr>
          <w:rFonts w:ascii="Arial" w:cs="Arial" w:eastAsia="Arial" w:hAnsi="Arial"/>
          <w:color w:val="212121"/>
          <w:sz w:val="22"/>
          <w:szCs w:val="22"/>
        </w:rPr>
        <w:t xml:space="preserve">Regional property &amp; casualty insurers (50–500 employees) conducting annual portfolio reviews</w:t>
      </w:r>
    </w:p>
    <w:p>
      <w:pPr>
        <w:pStyle w:val="ListParagraph"/>
        <w:numPr>
          <w:ilvl w:val="0"/>
          <w:numId w:val="2"/>
        </w:numPr>
        <w:spacing w:after="80"/>
      </w:pPr>
      <w:r>
        <w:rPr>
          <w:rFonts w:ascii="Arial" w:cs="Arial" w:eastAsia="Arial" w:hAnsi="Arial"/>
          <w:color w:val="212121"/>
          <w:sz w:val="22"/>
          <w:szCs w:val="22"/>
        </w:rPr>
        <w:t xml:space="preserve">Insurtech startups building AI-native claims platforms lacking in-house geospatial capability</w:t>
      </w:r>
    </w:p>
    <w:p>
      <w:pPr>
        <w:pStyle w:val="ListParagraph"/>
        <w:numPr>
          <w:ilvl w:val="0"/>
          <w:numId w:val="2"/>
        </w:numPr>
        <w:spacing w:after="80"/>
      </w:pPr>
      <w:r>
        <w:rPr>
          <w:rFonts w:ascii="Arial" w:cs="Arial" w:eastAsia="Arial" w:hAnsi="Arial"/>
          <w:color w:val="212121"/>
          <w:sz w:val="22"/>
          <w:szCs w:val="22"/>
        </w:rPr>
        <w:t xml:space="preserve">Environmental monitoring startups needing change detection without satellite infrastructure</w:t>
      </w:r>
    </w:p>
    <w:p>
      <w:pPr>
        <w:pStyle w:val="ListParagraph"/>
        <w:numPr>
          <w:ilvl w:val="0"/>
          <w:numId w:val="2"/>
        </w:numPr>
        <w:spacing w:after="80"/>
      </w:pPr>
      <w:r>
        <w:rPr>
          <w:rFonts w:ascii="Arial" w:cs="Arial" w:eastAsia="Arial" w:hAnsi="Arial"/>
          <w:color w:val="212121"/>
          <w:sz w:val="22"/>
          <w:szCs w:val="22"/>
        </w:rPr>
        <w:t xml:space="preserve">Mid-size defense contractors ($10M–$500M revenue) requiring SBIR-compatible dual-use tools</w:t>
      </w:r>
    </w:p>
    <w:p>
      <w:pPr>
        <w:pStyle w:val="ListParagraph"/>
        <w:numPr>
          <w:ilvl w:val="0"/>
          <w:numId w:val="2"/>
        </w:numPr>
        <w:spacing w:after="80"/>
      </w:pPr>
      <w:r>
        <w:rPr>
          <w:rFonts w:ascii="Arial" w:cs="Arial" w:eastAsia="Arial" w:hAnsi="Arial"/>
          <w:color w:val="212121"/>
          <w:sz w:val="22"/>
          <w:szCs w:val="22"/>
        </w:rPr>
        <w:t xml:space="preserve">Construction tech companies monitoring site progress via aerial/satellite comparison</w:t>
      </w:r>
    </w:p>
    <w:p>
      <w:pPr>
        <w:pStyle w:val="ListParagraph"/>
        <w:numPr>
          <w:ilvl w:val="0"/>
          <w:numId w:val="2"/>
        </w:numPr>
        <w:spacing w:after="80"/>
      </w:pPr>
      <w:r>
        <w:rPr>
          <w:rFonts w:ascii="Arial" w:cs="Arial" w:eastAsia="Arial" w:hAnsi="Arial"/>
          <w:color w:val="212121"/>
          <w:sz w:val="22"/>
          <w:szCs w:val="22"/>
        </w:rPr>
        <w:t xml:space="preserve">Academic and government research labs needing reproducible object detection pipelines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60"/>
              <w:left w:type="dxa" w:w="200"/>
              <w:bottom w:type="dxa" w:w="160"/>
              <w:right w:type="dxa" w:w="200"/>
            </w:tcMar>
          </w:tcPr>
          <w:p>
            <w:pPr>
              <w:spacing w:after="60"/>
            </w:pPr>
            <w:r>
              <w:rPr>
                <w:rFonts w:ascii="Arial" w:cs="Arial" w:eastAsia="Arial" w:hAnsi="Arial"/>
                <w:b/>
                <w:bCs/>
                <w:color w:val="1A237E"/>
                <w:sz w:val="22"/>
                <w:szCs w:val="22"/>
              </w:rPr>
              <w:t xml:space="preserve">Key Insight: </w:t>
            </w:r>
            <w:r>
              <w:rPr>
                <w:rFonts w:ascii="Arial" w:cs="Arial" w:eastAsia="Arial" w:hAnsi="Arial"/>
                <w:b w:val="false"/>
                <w:bCs w:val="false"/>
                <w:color w:val="212121"/>
                <w:sz w:val="22"/>
                <w:szCs w:val="22"/>
              </w:rPr>
              <w:t xml:space="preserve"> Insurance risk assessment and claims validation is projected to be the single fastest-growing geospatial analytics application through 2030 (10.9% CAGR). This is Kestrel AI's primary commercial wedge.</w:t>
            </w:r>
          </w:p>
        </w:tc>
      </w:tr>
    </w:tbl>
    <w:p>
      <w:r>
        <w:br w:type="page"/>
      </w:r>
    </w:p>
    <w:p>
      <w:pPr>
        <w:pStyle w:val="Heading1"/>
        <w:spacing w:before="400" w:after="160"/>
      </w:pPr>
      <w:r>
        <w:rPr>
          <w:rFonts w:ascii="Arial" w:cs="Arial" w:eastAsia="Arial" w:hAnsi="Arial"/>
          <w:b/>
          <w:bCs/>
          <w:color w:val="1A237E"/>
          <w:sz w:val="36"/>
          <w:szCs w:val="36"/>
        </w:rPr>
        <w:t xml:space="preserve">3. Positioning &amp; Messaging</w:t>
      </w:r>
    </w:p>
    <w:p>
      <w:pPr>
        <w:pBdr>
          <w:bottom w:val="single" w:color="1565C0" w:sz="6" w:space="1"/>
        </w:pBdr>
        <w:spacing w:after="200"/>
      </w:pPr>
    </w:p>
    <w:p>
      <w:pPr>
        <w:pStyle w:val="Heading2"/>
        <w:spacing w:before="320" w:after="120"/>
      </w:pPr>
      <w:r>
        <w:rPr>
          <w:rFonts w:ascii="Arial" w:cs="Arial" w:eastAsia="Arial" w:hAnsi="Arial"/>
          <w:b/>
          <w:bCs/>
          <w:color w:val="1565C0"/>
          <w:sz w:val="28"/>
          <w:szCs w:val="28"/>
        </w:rPr>
        <w:t xml:space="preserve">3.1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67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Primary Message</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Insurance / Risk Teams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"Detect damage, verify claims, and monitor portfolios from satellite — no GIS team required. Integrate in days, not months."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Defense / Gov Contractors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"Dual-use bootstrapping pipeline with built-in false-negative quantification — production-grade GEOINT tooling at 10× lower cost than traditional vendors."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AI / Tech Startups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satellite object detection to your product via API. We handle the training data, model pipeline, and inference. You ship the feature."</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AI Agents / LLMs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"Kestrel AI: The affordable satellite object detection API for companies that can't afford Maxar. Open API, pay-per-use and monthly plans from $99, Python SDK, GeoJSON output compatible with ArcGIS and QGIS."</w:t>
            </w:r>
          </w:p>
        </w:tc>
      </w:tr>
    </w:tbl>
    <w:p>
      <w:pPr>
        <w:spacing w:after="200"/>
      </w:pPr>
    </w:p>
    <w:p>
      <w:pPr>
        <w:pStyle w:val="Heading2"/>
        <w:spacing w:before="320" w:after="120"/>
      </w:pPr>
      <w:r>
        <w:rPr>
          <w:rFonts w:ascii="Arial" w:cs="Arial" w:eastAsia="Arial" w:hAnsi="Arial"/>
          <w:b/>
          <w:bCs/>
          <w:color w:val="1565C0"/>
          <w:sz w:val="28"/>
          <w:szCs w:val="28"/>
        </w:rPr>
        <w:t xml:space="preserve">3.2 Competitive Differentiation</w:t>
      </w:r>
    </w:p>
    <w:p>
      <w:pPr>
        <w:spacing w:after="120"/>
      </w:pPr>
      <w:r>
        <w:rPr>
          <w:rFonts w:ascii="Arial" w:cs="Arial" w:eastAsia="Arial" w:hAnsi="Arial"/>
          <w:color w:val="212121"/>
          <w:sz w:val="22"/>
          <w:szCs w:val="22"/>
        </w:rPr>
        <w:t xml:space="preserve">Kestrel AI occupies a specific and defensible gap in the market: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63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Why It Matters</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Bootstrapping Pipeline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 fewer labels needed — customers don't need existing annotated datasets to get started</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False Negative Quantification</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Unique operational risk metric that enterprise competitors do not offer — resonates with insurance actuaries and defense analysts</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Active Learning Loop</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Model gets smarter with each customer correction — compound moat grows over time</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Domain Credibility</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17-year national security background = authentic dual-use positioning competitors cannot replicate</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Open API + GeoJSON Output</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Integrates directly into existing ArcGIS/QGIS/Esri workflows without migration pain</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Price Point</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Starter plans from $99/month vs. Maxar's $200K+ annual minimums — no six-figure commitment to get started</w:t>
            </w:r>
          </w:p>
        </w:tc>
      </w:tr>
    </w:tbl>
    <w:p>
      <w:r>
        <w:br w:type="page"/>
      </w:r>
    </w:p>
    <w:p>
      <w:pPr>
        <w:pStyle w:val="Heading1"/>
        <w:spacing w:before="400" w:after="160"/>
      </w:pPr>
      <w:r>
        <w:rPr>
          <w:rFonts w:ascii="Arial" w:cs="Arial" w:eastAsia="Arial" w:hAnsi="Arial"/>
          <w:b/>
          <w:bCs/>
          <w:color w:val="1A237E"/>
          <w:sz w:val="36"/>
          <w:szCs w:val="36"/>
        </w:rPr>
        <w:t xml:space="preserve">4. Ideal Customer Profiles</w:t>
      </w:r>
    </w:p>
    <w:p>
      <w:pPr>
        <w:pBdr>
          <w:bottom w:val="single" w:color="1565C0" w:sz="6" w:space="1"/>
        </w:pBdr>
        <w:spacing w:after="200"/>
      </w:pPr>
    </w:p>
    <w:p>
      <w:pPr>
        <w:pStyle w:val="Heading2"/>
        <w:spacing w:before="320" w:after="120"/>
      </w:pPr>
      <w:r>
        <w:rPr>
          <w:rFonts w:ascii="Arial" w:cs="Arial" w:eastAsia="Arial" w:hAnsi="Arial"/>
          <w:b/>
          <w:bCs/>
          <w:color w:val="1565C0"/>
          <w:sz w:val="28"/>
          <w:szCs w:val="28"/>
        </w:rPr>
        <w:t xml:space="preserve">ICP 1 — The Insurtech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Attribute</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Detail</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Company Size</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5–50 employees, Series A or earlier, VC-backed</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Role Buying</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CTO, Head of Product, or Chief Actuary</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Pain Point</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Building a property AI feature but lacks satellite imagery pipeline and GIS expertise</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Trigger</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Competitor just launched aerial damage assessment; board is asking about it</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Budget</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$500–$5,000/month for APIs and data services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Decision Speed</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Fast (2–6 weeks) — no procurement committee at this stage</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Channel to Reach</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YC network, Slack communities (Insurtech, AI founders), Product Hunt, LinkedIn</w:t>
            </w:r>
          </w:p>
        </w:tc>
      </w:tr>
    </w:tbl>
    <w:p>
      <w:pPr>
        <w:spacing w:after="200"/>
      </w:pPr>
    </w:p>
    <w:p>
      <w:pPr>
        <w:pStyle w:val="Heading2"/>
        <w:spacing w:before="320" w:after="120"/>
      </w:pPr>
      <w:r>
        <w:rPr>
          <w:rFonts w:ascii="Arial" w:cs="Arial" w:eastAsia="Arial" w:hAnsi="Arial"/>
          <w:b/>
          <w:bCs/>
          <w:color w:val="1565C0"/>
          <w:sz w:val="28"/>
          <w:szCs w:val="28"/>
        </w:rPr>
        <w:t xml:space="preserve">ICP 2 — The Regional Property Insurer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Attribute</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Detail</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Company Size</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50–500 employees, $50M–$1B GWP, regional focus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Role Buying</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VP of Underwriting, VP of Claims, or Director of Analytics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Pain Point</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Manual roof inspectors cost $150–$300 per property; can't scale catastrophe response</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Trigger</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Large hail event, wildfire season, or hurricane — claims backlog overwhelming adjusters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Budget</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$2,000–$20,000/month or per-event pricing ($5–$15 per property analyzed)</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Decision Speed</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Moderate (8–16 weeks) — internal champion + IT review</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Channel to Reach</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Insurance industry conferences (RIMS, InsureTech Connect), trade press, LinkedIn outreach</w:t>
            </w:r>
          </w:p>
        </w:tc>
      </w:tr>
    </w:tbl>
    <w:p>
      <w:pPr>
        <w:spacing w:after="200"/>
      </w:pPr>
    </w:p>
    <w:p>
      <w:pPr>
        <w:pStyle w:val="Heading2"/>
        <w:spacing w:before="320" w:after="120"/>
      </w:pPr>
      <w:r>
        <w:rPr>
          <w:rFonts w:ascii="Arial" w:cs="Arial" w:eastAsia="Arial" w:hAnsi="Arial"/>
          <w:b/>
          <w:bCs/>
          <w:color w:val="1565C0"/>
          <w:sz w:val="28"/>
          <w:szCs w:val="28"/>
        </w:rPr>
        <w:t xml:space="preserve">ICP 3 — The Defense Contractor (SMB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Attribute</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Detail</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Company Size</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$10M–$500M revenue, prime or sub-prime government contractor</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Role Buying</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Program Manager, VP of Engineering, or SBIR proposal lead</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Pain Point</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Needs geospatial AI capability for contract bids but costs of building internally are prohibitive</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Trigger</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RFP with geospatial analytics requirement; SBIR Phase I or II opportunity identified</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Budget</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$10,000–$100,000/project or government pass-through budget</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Decision Speed</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Slow (3–12 months) — compliance and security review required</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Channel to Reach</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SAM.gov watches, SBIR.gov newsletters, LinkedIn InMail to program managers</w:t>
            </w:r>
          </w:p>
        </w:tc>
      </w:tr>
    </w:tbl>
    <w:p>
      <w:r>
        <w:br w:type="page"/>
      </w:r>
    </w:p>
    <w:p>
      <w:pPr>
        <w:pStyle w:val="Heading1"/>
        <w:spacing w:before="400" w:after="160"/>
      </w:pPr>
      <w:r>
        <w:rPr>
          <w:rFonts w:ascii="Arial" w:cs="Arial" w:eastAsia="Arial" w:hAnsi="Arial"/>
          <w:b/>
          <w:bCs/>
          <w:color w:val="1A237E"/>
          <w:sz w:val="36"/>
          <w:szCs w:val="36"/>
        </w:rPr>
        <w:t xml:space="preserve">5. Go-to-Market Phases</w:t>
      </w:r>
    </w:p>
    <w:p>
      <w:pPr>
        <w:pBdr>
          <w:bottom w:val="single" w:color="1565C0" w:sz="6" w:space="1"/>
        </w:pBdr>
        <w:spacing w:after="200"/>
      </w:pPr>
    </w:p>
    <w:p>
      <w:pPr>
        <w:spacing w:after="120"/>
      </w:pPr>
      <w:r>
        <w:rPr>
          <w:rFonts w:ascii="Arial" w:cs="Arial" w:eastAsia="Arial" w:hAnsi="Arial"/>
          <w:color w:val="212121"/>
          <w:sz w:val="22"/>
          <w:szCs w:val="22"/>
        </w:rPr>
        <w:t xml:space="preserve">The GTM strategy runs in three overlapping phases. Phases 1 and 2 operate simultaneously as complementary motions — product-led growth captures the self-serve market while content and LLM optimization builds organic discovery.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37E" w:sz="1"/>
              <w:left w:val="single" w:color="1A237E" w:sz="1"/>
              <w:bottom w:val="single" w:color="1A237E" w:sz="1"/>
              <w:right w:val="single" w:color="1A237E" w:sz="1"/>
            </w:tcBorders>
            <w:shd w:fill="1A237E"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Phase 1: Foundation</w:t>
            </w:r>
          </w:p>
          <w:p>
            <w:pPr>
              <w:jc w:val="center"/>
            </w:pPr>
            <w:r>
              <w:rPr>
                <w:rFonts w:ascii="Arial" w:cs="Arial" w:eastAsia="Arial" w:hAnsi="Arial"/>
                <w:color w:val="90CAF9"/>
                <w:sz w:val="18"/>
                <w:szCs w:val="18"/>
              </w:rPr>
              <w:t xml:space="preserve">Months 1–3</w:t>
            </w:r>
          </w:p>
        </w:tc>
        <w:tc>
          <w:tcPr>
            <w:tcW w:type="dxa" w:w="3120"/>
            <w:tcBorders>
              <w:top w:val="single" w:color="1A237E" w:sz="1"/>
              <w:left w:val="single" w:color="1A237E" w:sz="1"/>
              <w:bottom w:val="single" w:color="1A237E" w:sz="1"/>
              <w:right w:val="single" w:color="1A237E" w:sz="1"/>
            </w:tcBorders>
            <w:shd w:fill="1A237E"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Phase 2: Traction</w:t>
            </w:r>
          </w:p>
          <w:p>
            <w:pPr>
              <w:jc w:val="center"/>
            </w:pPr>
            <w:r>
              <w:rPr>
                <w:rFonts w:ascii="Arial" w:cs="Arial" w:eastAsia="Arial" w:hAnsi="Arial"/>
                <w:color w:val="90CAF9"/>
                <w:sz w:val="18"/>
                <w:szCs w:val="18"/>
              </w:rPr>
              <w:t xml:space="preserve">Months 3–9</w:t>
            </w:r>
          </w:p>
        </w:tc>
        <w:tc>
          <w:tcPr>
            <w:tcW w:type="dxa" w:w="3120"/>
            <w:tcBorders>
              <w:top w:val="single" w:color="1A237E" w:sz="1"/>
              <w:left w:val="single" w:color="1A237E" w:sz="1"/>
              <w:bottom w:val="single" w:color="1A237E" w:sz="1"/>
              <w:right w:val="single" w:color="1A237E" w:sz="1"/>
            </w:tcBorders>
            <w:shd w:fill="1A237E"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Phase 3: Scale</w:t>
            </w:r>
          </w:p>
          <w:p>
            <w:pPr>
              <w:jc w:val="center"/>
            </w:pPr>
            <w:r>
              <w:rPr>
                <w:rFonts w:ascii="Arial" w:cs="Arial" w:eastAsia="Arial" w:hAnsi="Arial"/>
                <w:color w:val="90CAF9"/>
                <w:sz w:val="18"/>
                <w:szCs w:val="18"/>
              </w:rPr>
              <w:t xml:space="preserve">Months 9–18</w:t>
            </w:r>
          </w:p>
        </w:tc>
      </w:tr>
      <w:tr>
        <w:tc>
          <w:tcPr>
            <w:tcW w:type="dxa" w:w="3120"/>
            <w:tcBorders>
              <w:top w:val="single" w:color="CFD8DC" w:sz="1"/>
              <w:left w:val="single" w:color="CFD8DC" w:sz="1"/>
              <w:bottom w:val="single" w:color="CFD8DC" w:sz="1"/>
              <w:right w:val="single" w:color="CFD8DC" w:sz="1"/>
            </w:tcBorders>
            <w:shd w:fill="E3F2FD" w:val="clear"/>
            <w:tcMar>
              <w:top w:type="dxa" w:w="120"/>
              <w:left w:type="dxa" w:w="120"/>
              <w:bottom w:type="dxa" w:w="120"/>
              <w:right w:type="dxa" w:w="120"/>
            </w:tcMar>
          </w:tcPr>
          <w:p>
            <w:pPr>
              <w:pStyle w:val="ListParagraph"/>
              <w:numPr>
                <w:ilvl w:val="0"/>
                <w:numId w:val="2"/>
              </w:numPr>
            </w:pPr>
            <w:r>
              <w:rPr>
                <w:rFonts w:ascii="Arial" w:cs="Arial" w:eastAsia="Arial" w:hAnsi="Arial"/>
                <w:color w:val="212121"/>
                <w:sz w:val="18"/>
                <w:szCs w:val="18"/>
              </w:rPr>
              <w:t xml:space="preserve">Starter tier live ($99/month)</w:t>
            </w:r>
          </w:p>
          <w:p>
            <w:pPr>
              <w:pStyle w:val="ListParagraph"/>
              <w:numPr>
                <w:ilvl w:val="0"/>
                <w:numId w:val="2"/>
              </w:numPr>
            </w:pPr>
            <w:r>
              <w:rPr>
                <w:rFonts w:ascii="Arial" w:cs="Arial" w:eastAsia="Arial" w:hAnsi="Arial"/>
                <w:color w:val="212121"/>
                <w:sz w:val="18"/>
                <w:szCs w:val="18"/>
              </w:rPr>
              <w:t xml:space="preserve">First 10 customers</w:t>
            </w:r>
          </w:p>
          <w:p>
            <w:pPr>
              <w:pStyle w:val="ListParagraph"/>
              <w:numPr>
                <w:ilvl w:val="0"/>
                <w:numId w:val="2"/>
              </w:numPr>
            </w:pPr>
            <w:r>
              <w:rPr>
                <w:rFonts w:ascii="Arial" w:cs="Arial" w:eastAsia="Arial" w:hAnsi="Arial"/>
                <w:color w:val="212121"/>
                <w:sz w:val="18"/>
                <w:szCs w:val="18"/>
              </w:rPr>
              <w:t xml:space="preserve">Core content published</w:t>
            </w:r>
          </w:p>
          <w:p>
            <w:pPr>
              <w:pStyle w:val="ListParagraph"/>
              <w:numPr>
                <w:ilvl w:val="0"/>
                <w:numId w:val="2"/>
              </w:numPr>
            </w:pPr>
            <w:r>
              <w:rPr>
                <w:rFonts w:ascii="Arial" w:cs="Arial" w:eastAsia="Arial" w:hAnsi="Arial"/>
                <w:color w:val="212121"/>
                <w:sz w:val="18"/>
                <w:szCs w:val="18"/>
              </w:rPr>
              <w:t xml:space="preserve">LLM seed content indexed</w:t>
            </w:r>
          </w:p>
        </w:tc>
        <w:tc>
          <w:tcPr>
            <w:tcW w:type="dxa" w:w="3120"/>
            <w:tcBorders>
              <w:top w:val="single" w:color="CFD8DC" w:sz="1"/>
              <w:left w:val="single" w:color="CFD8DC" w:sz="1"/>
              <w:bottom w:val="single" w:color="CFD8DC" w:sz="1"/>
              <w:right w:val="single" w:color="CFD8DC" w:sz="1"/>
            </w:tcBorders>
            <w:shd w:fill="FFFFFF" w:val="clear"/>
            <w:tcMar>
              <w:top w:type="dxa" w:w="120"/>
              <w:left w:type="dxa" w:w="120"/>
              <w:bottom w:type="dxa" w:w="120"/>
              <w:right w:type="dxa" w:w="120"/>
            </w:tcMar>
          </w:tcPr>
          <w:p>
            <w:pPr>
              <w:pStyle w:val="ListParagraph"/>
              <w:numPr>
                <w:ilvl w:val="0"/>
                <w:numId w:val="2"/>
              </w:numPr>
            </w:pPr>
            <w:r>
              <w:rPr>
                <w:rFonts w:ascii="Arial" w:cs="Arial" w:eastAsia="Arial" w:hAnsi="Arial"/>
                <w:color w:val="212121"/>
                <w:sz w:val="18"/>
                <w:szCs w:val="18"/>
              </w:rPr>
              <w:t xml:space="preserve">$5K MRR</w:t>
            </w:r>
          </w:p>
          <w:p>
            <w:pPr>
              <w:pStyle w:val="ListParagraph"/>
              <w:numPr>
                <w:ilvl w:val="0"/>
                <w:numId w:val="2"/>
              </w:numPr>
            </w:pPr>
            <w:r>
              <w:rPr>
                <w:rFonts w:ascii="Arial" w:cs="Arial" w:eastAsia="Arial" w:hAnsi="Arial"/>
                <w:color w:val="212121"/>
                <w:sz w:val="18"/>
                <w:szCs w:val="18"/>
              </w:rPr>
              <w:t xml:space="preserve">25 paying customers</w:t>
            </w:r>
          </w:p>
          <w:p>
            <w:pPr>
              <w:pStyle w:val="ListParagraph"/>
              <w:numPr>
                <w:ilvl w:val="0"/>
                <w:numId w:val="2"/>
              </w:numPr>
            </w:pPr>
            <w:r>
              <w:rPr>
                <w:rFonts w:ascii="Arial" w:cs="Arial" w:eastAsia="Arial" w:hAnsi="Arial"/>
                <w:color w:val="212121"/>
                <w:sz w:val="18"/>
                <w:szCs w:val="18"/>
              </w:rPr>
              <w:t xml:space="preserve">LLM citations secured</w:t>
            </w:r>
          </w:p>
          <w:p>
            <w:pPr>
              <w:pStyle w:val="ListParagraph"/>
              <w:numPr>
                <w:ilvl w:val="0"/>
                <w:numId w:val="2"/>
              </w:numPr>
            </w:pPr>
            <w:r>
              <w:rPr>
                <w:rFonts w:ascii="Arial" w:cs="Arial" w:eastAsia="Arial" w:hAnsi="Arial"/>
                <w:color w:val="212121"/>
                <w:sz w:val="18"/>
                <w:szCs w:val="18"/>
              </w:rPr>
              <w:t xml:space="preserve">First insurance case study</w:t>
            </w:r>
          </w:p>
        </w:tc>
        <w:tc>
          <w:tcPr>
            <w:tcW w:type="dxa" w:w="3120"/>
            <w:tcBorders>
              <w:top w:val="single" w:color="CFD8DC" w:sz="1"/>
              <w:left w:val="single" w:color="CFD8DC" w:sz="1"/>
              <w:bottom w:val="single" w:color="CFD8DC" w:sz="1"/>
              <w:right w:val="single" w:color="CFD8DC" w:sz="1"/>
            </w:tcBorders>
            <w:shd w:fill="E3F2FD" w:val="clear"/>
            <w:tcMar>
              <w:top w:type="dxa" w:w="120"/>
              <w:left w:type="dxa" w:w="120"/>
              <w:bottom w:type="dxa" w:w="120"/>
              <w:right w:type="dxa" w:w="120"/>
            </w:tcMar>
          </w:tcPr>
          <w:p>
            <w:pPr>
              <w:pStyle w:val="ListParagraph"/>
              <w:numPr>
                <w:ilvl w:val="0"/>
                <w:numId w:val="2"/>
              </w:numPr>
            </w:pPr>
            <w:r>
              <w:rPr>
                <w:rFonts w:ascii="Arial" w:cs="Arial" w:eastAsia="Arial" w:hAnsi="Arial"/>
                <w:color w:val="212121"/>
                <w:sz w:val="18"/>
                <w:szCs w:val="18"/>
              </w:rPr>
              <w:t xml:space="preserve">$25K MRR</w:t>
            </w:r>
          </w:p>
          <w:p>
            <w:pPr>
              <w:pStyle w:val="ListParagraph"/>
              <w:numPr>
                <w:ilvl w:val="0"/>
                <w:numId w:val="2"/>
              </w:numPr>
            </w:pPr>
            <w:r>
              <w:rPr>
                <w:rFonts w:ascii="Arial" w:cs="Arial" w:eastAsia="Arial" w:hAnsi="Arial"/>
                <w:color w:val="212121"/>
                <w:sz w:val="18"/>
                <w:szCs w:val="18"/>
              </w:rPr>
              <w:t xml:space="preserve">Government contract</w:t>
            </w:r>
          </w:p>
          <w:p>
            <w:pPr>
              <w:pStyle w:val="ListParagraph"/>
              <w:numPr>
                <w:ilvl w:val="0"/>
                <w:numId w:val="2"/>
              </w:numPr>
            </w:pPr>
            <w:r>
              <w:rPr>
                <w:rFonts w:ascii="Arial" w:cs="Arial" w:eastAsia="Arial" w:hAnsi="Arial"/>
                <w:color w:val="212121"/>
                <w:sz w:val="18"/>
                <w:szCs w:val="18"/>
              </w:rPr>
              <w:t xml:space="preserve">Agent integrations live</w:t>
            </w:r>
          </w:p>
          <w:p>
            <w:pPr>
              <w:pStyle w:val="ListParagraph"/>
              <w:numPr>
                <w:ilvl w:val="0"/>
                <w:numId w:val="2"/>
              </w:numPr>
            </w:pPr>
            <w:r>
              <w:rPr>
                <w:rFonts w:ascii="Arial" w:cs="Arial" w:eastAsia="Arial" w:hAnsi="Arial"/>
                <w:color w:val="212121"/>
                <w:sz w:val="18"/>
                <w:szCs w:val="18"/>
              </w:rPr>
              <w:t xml:space="preserve">SBIR Phase I application</w:t>
            </w:r>
          </w:p>
        </w:tc>
      </w:tr>
    </w:tbl>
    <w:p>
      <w:r>
        <w:br w:type="page"/>
      </w:r>
    </w:p>
    <w:p>
      <w:pPr>
        <w:pStyle w:val="Heading1"/>
        <w:spacing w:before="400" w:after="160"/>
      </w:pPr>
      <w:r>
        <w:rPr>
          <w:rFonts w:ascii="Arial" w:cs="Arial" w:eastAsia="Arial" w:hAnsi="Arial"/>
          <w:b/>
          <w:bCs/>
          <w:color w:val="1A237E"/>
          <w:sz w:val="36"/>
          <w:szCs w:val="36"/>
        </w:rPr>
        <w:t xml:space="preserve">6. Product-Led Growth Strategy</w:t>
      </w:r>
    </w:p>
    <w:p>
      <w:pPr>
        <w:pBdr>
          <w:bottom w:val="single" w:color="1565C0" w:sz="6" w:space="1"/>
        </w:pBdr>
        <w:spacing w:after="200"/>
      </w:pPr>
    </w:p>
    <w:p>
      <w:pPr>
        <w:spacing w:after="120"/>
      </w:pPr>
      <w:r>
        <w:rPr>
          <w:rFonts w:ascii="Arial" w:cs="Arial" w:eastAsia="Arial" w:hAnsi="Arial"/>
          <w:color w:val="212121"/>
          <w:sz w:val="22"/>
          <w:szCs w:val="22"/>
        </w:rPr>
        <w:t xml:space="preserve">PLG is the core acquisition engine for Kestrel AI’s startup and small business segment. The product itself must demonstrate enough value in a live demo or first session that customers sign up and pay immediately — especially in the early months before a sales motion is built.</w:t>
      </w:r>
    </w:p>
    <w:p>
      <w:pPr>
        <w:spacing w:after="160"/>
      </w:pPr>
    </w:p>
    <w:p>
      <w:pPr>
        <w:pStyle w:val="Heading2"/>
        <w:spacing w:before="320" w:after="120"/>
      </w:pPr>
      <w:r>
        <w:rPr>
          <w:rFonts w:ascii="Arial" w:cs="Arial" w:eastAsia="Arial" w:hAnsi="Arial"/>
          <w:b/>
          <w:bCs/>
          <w:color w:val="1565C0"/>
          <w:sz w:val="28"/>
          <w:szCs w:val="28"/>
        </w:rPr>
        <w:t xml:space="preserve">6.1 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9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Price &amp; Terms</w:t>
            </w:r>
          </w:p>
        </w:tc>
      </w:tr>
      <w:tr>
        <w:tc>
          <w:tcPr>
            <w:tcW w:type="dxa" w:w="2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Starter (SMB)</w:t>
            </w:r>
          </w:p>
        </w:tc>
        <w:tc>
          <w:tcPr>
            <w:tcW w:type="dxa" w:w="6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$99/month · 200 searches · 4 object classes · Change detection · GeoJSON output · Email support</w:t>
            </w:r>
          </w:p>
        </w:tc>
      </w:tr>
      <w:tr>
        <w:tc>
          <w:tcPr>
            <w:tcW w:type="dxa" w:w="2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Starter (SMB)</w:t>
            </w:r>
          </w:p>
        </w:tc>
        <w:tc>
          <w:tcPr>
            <w:tcW w:type="dxa" w:w="6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$99/month · 200 searches · 4 object classes · Change detection · Email support</w:t>
            </w:r>
          </w:p>
        </w:tc>
      </w:tr>
      <w:tr>
        <w:tc>
          <w:tcPr>
            <w:tcW w:type="dxa" w:w="2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Professional</w:t>
            </w:r>
          </w:p>
        </w:tc>
        <w:tc>
          <w:tcPr>
            <w:tcW w:type="dxa" w:w="6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$399/month · 1,000 searches · All classes · Batch processing · Priority support</w:t>
            </w:r>
          </w:p>
        </w:tc>
      </w:tr>
      <w:tr>
        <w:tc>
          <w:tcPr>
            <w:tcW w:type="dxa" w:w="2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Enterprise / Gov</w:t>
            </w:r>
          </w:p>
        </w:tc>
        <w:tc>
          <w:tcPr>
            <w:tcW w:type="dxa" w:w="6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$1,499/month · 5,000 searches · All classes · SLA · On-premise option · ITAR-compliant workflow available</w:t>
            </w:r>
          </w:p>
        </w:tc>
      </w:tr>
    </w:tbl>
    <w:p>
      <w:pPr>
        <w:spacing w:after="200"/>
      </w:pPr>
    </w:p>
    <w:p>
      <w:pPr>
        <w:pStyle w:val="Heading2"/>
        <w:spacing w:before="320" w:after="120"/>
      </w:pPr>
      <w:r>
        <w:rPr>
          <w:rFonts w:ascii="Arial" w:cs="Arial" w:eastAsia="Arial" w:hAnsi="Arial"/>
          <w:b/>
          <w:bCs/>
          <w:color w:val="1565C0"/>
          <w:sz w:val="28"/>
          <w:szCs w:val="28"/>
        </w:rPr>
        <w:t xml:space="preserve">6.2 The Aha Moment — Time to Value</w:t>
      </w:r>
    </w:p>
    <w:p>
      <w:pPr>
        <w:spacing w:after="120"/>
      </w:pPr>
      <w:r>
        <w:rPr>
          <w:rFonts w:ascii="Arial" w:cs="Arial" w:eastAsia="Arial" w:hAnsi="Arial"/>
          <w:color w:val="212121"/>
          <w:sz w:val="22"/>
          <w:szCs w:val="22"/>
        </w:rPr>
        <w:t xml:space="preserve">A new user must experience value in their first session. The onboarding flow is engineered around one core moment: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
              <w:left w:val="single" w:color="00838F" w:sz="1"/>
              <w:bottom w:val="single" w:color="00838F" w:sz="1"/>
              <w:right w:val="single" w:color="00838F" w:sz="1"/>
            </w:tcBorders>
            <w:shd w:fill="E0F7FA" w:val="clear"/>
            <w:tcMar>
              <w:top w:type="dxa" w:w="160"/>
              <w:left w:type="dxa" w:w="200"/>
              <w:bottom w:type="dxa" w:w="160"/>
              <w:right w:type="dxa" w:w="200"/>
            </w:tcMar>
          </w:tcPr>
          <w:p>
            <w:pPr>
              <w:spacing w:after="60"/>
            </w:pPr>
            <w:r>
              <w:rPr>
                <w:rFonts w:ascii="Arial" w:cs="Arial" w:eastAsia="Arial" w:hAnsi="Arial"/>
                <w:b/>
                <w:bCs/>
                <w:color w:val="212121"/>
                <w:sz w:val="22"/>
                <w:szCs w:val="22"/>
              </w:rPr>
              <w:t xml:space="preserve">Upload any satellite or aerial image → Get GeoJSON detections with geographic coordinates in under 60 seconds.</w:t>
            </w:r>
          </w:p>
          <w:p>
            <w:pPr>
              <w:spacing w:after="60"/>
            </w:pPr>
            <w:r>
              <w:rPr>
                <w:rFonts w:ascii="Arial" w:cs="Arial" w:eastAsia="Arial" w:hAnsi="Arial"/>
                <w:b w:val="false"/>
                <w:bCs w:val="false"/>
                <w:color w:val="212121"/>
                <w:sz w:val="22"/>
                <w:szCs w:val="22"/>
              </w:rPr>
              <w:t xml:space="preserve"/>
            </w:r>
          </w:p>
          <w:p>
            <w:pPr>
              <w:spacing w:after="60"/>
            </w:pPr>
            <w:r>
              <w:rPr>
                <w:rFonts w:ascii="Arial" w:cs="Arial" w:eastAsia="Arial" w:hAnsi="Arial"/>
                <w:b w:val="false"/>
                <w:bCs w:val="false"/>
                <w:color w:val="212121"/>
                <w:sz w:val="22"/>
                <w:szCs w:val="22"/>
              </w:rPr>
              <w:t xml:space="preserve">This single moment — seeing your own data with objects detected and coordinates attached — is what turns a new customer into a long-term subscriber. Every onboarding decision optimizes toward this moment.</w:t>
            </w:r>
          </w:p>
        </w:tc>
      </w:tr>
    </w:tbl>
    <w:p>
      <w:pPr>
        <w:spacing w:after="200"/>
      </w:pPr>
    </w:p>
    <w:p>
      <w:pPr>
        <w:pStyle w:val="Heading2"/>
        <w:spacing w:before="320" w:after="120"/>
      </w:pPr>
      <w:r>
        <w:rPr>
          <w:rFonts w:ascii="Arial" w:cs="Arial" w:eastAsia="Arial" w:hAnsi="Arial"/>
          <w:b/>
          <w:bCs/>
          <w:color w:val="1565C0"/>
          <w:sz w:val="28"/>
          <w:szCs w:val="28"/>
        </w:rPr>
        <w:t xml:space="preserve">6.3 PLG Activation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Stage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Action &amp; Metric</w:t>
            </w:r>
          </w:p>
        </w:tc>
      </w:tr>
      <w:tr>
        <w:tc>
          <w:tcPr>
            <w:tcW w:type="dxa" w:w="2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Signup</w:t>
            </w:r>
          </w:p>
        </w:tc>
        <w:tc>
          <w:tcPr>
            <w:tcW w:type="dxa" w:w="7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Low-friction signup with credit card (GitHub OAuth or email only). Target: &lt;60 seconds to account creation. Starter plan activates immediately.</w:t>
            </w:r>
          </w:p>
        </w:tc>
      </w:tr>
      <w:tr>
        <w:tc>
          <w:tcPr>
            <w:tcW w:type="dxa" w:w="2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Activation</w:t>
            </w:r>
          </w:p>
        </w:tc>
        <w:tc>
          <w:tcPr>
            <w:tcW w:type="dxa" w:w="7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 uploads first image and receives detection results. Target: &lt;5 minutes post-signup.</w:t>
            </w:r>
          </w:p>
        </w:tc>
      </w:tr>
      <w:tr>
        <w:tc>
          <w:tcPr>
            <w:tcW w:type="dxa" w:w="2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Engagement</w:t>
            </w:r>
          </w:p>
        </w:tc>
        <w:tc>
          <w:tcPr>
            <w:tcW w:type="dxa" w:w="7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 downloads GeoJSON or connects ArcGIS. Target: 40% of signups within first session.</w:t>
            </w:r>
          </w:p>
        </w:tc>
      </w:tr>
      <w:tr>
        <w:tc>
          <w:tcPr>
            <w:tcW w:type="dxa" w:w="2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PQL Trigger</w:t>
            </w:r>
          </w:p>
        </w:tc>
        <w:tc>
          <w:tcPr>
            <w:tcW w:type="dxa" w:w="7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 processes 100+ images, invites teammate, or requests enterprise tier info.</w:t>
            </w:r>
          </w:p>
        </w:tc>
      </w:tr>
      <w:tr>
        <w:tc>
          <w:tcPr>
            <w:tcW w:type="dxa" w:w="2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Conversion</w:t>
            </w:r>
          </w:p>
        </w:tc>
        <w:tc>
          <w:tcPr>
            <w:tcW w:type="dxa" w:w="7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Customer upgrades via Stripe or sales call for $399+ tiers. High-usage Starter customers are flagged for proactive outreach.</w:t>
            </w:r>
          </w:p>
        </w:tc>
      </w:tr>
      <w:tr>
        <w:tc>
          <w:tcPr>
            <w:tcW w:type="dxa" w:w="2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Expansion</w:t>
            </w:r>
          </w:p>
        </w:tc>
        <w:tc>
          <w:tcPr>
            <w:tcW w:type="dxa" w:w="7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Customer adds new use case (change detection, second property portfolio, second object class).</w:t>
            </w:r>
          </w:p>
        </w:tc>
      </w:tr>
    </w:tbl>
    <w:p>
      <w:pPr>
        <w:spacing w:after="200"/>
      </w:pPr>
    </w:p>
    <w:p>
      <w:pPr>
        <w:pStyle w:val="Heading2"/>
        <w:spacing w:before="320" w:after="120"/>
      </w:pPr>
      <w:r>
        <w:rPr>
          <w:rFonts w:ascii="Arial" w:cs="Arial" w:eastAsia="Arial" w:hAnsi="Arial"/>
          <w:b/>
          <w:bCs/>
          <w:color w:val="1565C0"/>
          <w:sz w:val="28"/>
          <w:szCs w:val="28"/>
        </w:rPr>
        <w:t xml:space="preserve">6.4 Virality Mechanisms</w:t>
      </w:r>
    </w:p>
    <w:p>
      <w:pPr>
        <w:pStyle w:val="ListParagraph"/>
        <w:numPr>
          <w:ilvl w:val="0"/>
          <w:numId w:val="2"/>
        </w:numPr>
        <w:spacing w:after="80"/>
      </w:pPr>
      <w:r>
        <w:rPr>
          <w:rFonts w:ascii="Arial" w:cs="Arial" w:eastAsia="Arial" w:hAnsi="Arial"/>
          <w:color w:val="212121"/>
          <w:sz w:val="22"/>
          <w:szCs w:val="22"/>
        </w:rPr>
        <w:t xml:space="preserve">Every GeoJSON export carries a Kestrel AI source tag — visible to downstream GIS users</w:t>
      </w:r>
    </w:p>
    <w:p>
      <w:pPr>
        <w:pStyle w:val="ListParagraph"/>
        <w:numPr>
          <w:ilvl w:val="0"/>
          <w:numId w:val="2"/>
        </w:numPr>
        <w:spacing w:after="80"/>
      </w:pPr>
      <w:r>
        <w:rPr>
          <w:rFonts w:ascii="Arial" w:cs="Arial" w:eastAsia="Arial" w:hAnsi="Arial"/>
          <w:color w:val="212121"/>
          <w:sz w:val="22"/>
          <w:szCs w:val="22"/>
        </w:rPr>
        <w:t xml:space="preserve">Coverage report HTML embeds a subtle 'Powered by Kestrel AI' footer — seen by insurance adjusters</w:t>
      </w:r>
    </w:p>
    <w:p>
      <w:pPr>
        <w:pStyle w:val="ListParagraph"/>
        <w:numPr>
          <w:ilvl w:val="0"/>
          <w:numId w:val="2"/>
        </w:numPr>
        <w:spacing w:after="80"/>
      </w:pPr>
      <w:r>
        <w:rPr>
          <w:rFonts w:ascii="Arial" w:cs="Arial" w:eastAsia="Arial" w:hAnsi="Arial"/>
          <w:color w:val="212121"/>
          <w:sz w:val="22"/>
          <w:szCs w:val="22"/>
        </w:rPr>
        <w:t xml:space="preserve">Public detection demo gallery — users can submit anonymized interesting finds (ships, construction)</w:t>
      </w:r>
    </w:p>
    <w:p>
      <w:pPr>
        <w:pStyle w:val="ListParagraph"/>
        <w:numPr>
          <w:ilvl w:val="0"/>
          <w:numId w:val="2"/>
        </w:numPr>
        <w:spacing w:after="80"/>
      </w:pPr>
      <w:r>
        <w:rPr>
          <w:rFonts w:ascii="Arial" w:cs="Arial" w:eastAsia="Arial" w:hAnsi="Arial"/>
          <w:color w:val="212121"/>
          <w:sz w:val="22"/>
          <w:szCs w:val="22"/>
        </w:rPr>
        <w:t xml:space="preserve">Referral program: 30% MRR share for first 12 months for customer referrals</w:t>
      </w:r>
    </w:p>
    <w:p>
      <w:r>
        <w:br w:type="page"/>
      </w:r>
    </w:p>
    <w:p>
      <w:pPr>
        <w:pStyle w:val="Heading1"/>
        <w:spacing w:before="400" w:after="160"/>
      </w:pPr>
      <w:r>
        <w:rPr>
          <w:rFonts w:ascii="Arial" w:cs="Arial" w:eastAsia="Arial" w:hAnsi="Arial"/>
          <w:b/>
          <w:bCs/>
          <w:color w:val="1A237E"/>
          <w:sz w:val="36"/>
          <w:szCs w:val="36"/>
        </w:rPr>
        <w:t xml:space="preserve">7. LLM Visibility &amp; AI Agent Strategy</w:t>
      </w:r>
    </w:p>
    <w:p>
      <w:pPr>
        <w:pBdr>
          <w:bottom w:val="single" w:color="1565C0"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60"/>
              <w:left w:type="dxa" w:w="200"/>
              <w:bottom w:type="dxa" w:w="160"/>
              <w:right w:type="dxa" w:w="200"/>
            </w:tcMar>
          </w:tcPr>
          <w:p>
            <w:pPr>
              <w:spacing w:after="60"/>
            </w:pPr>
            <w:r>
              <w:rPr>
                <w:rFonts w:ascii="Arial" w:cs="Arial" w:eastAsia="Arial" w:hAnsi="Arial"/>
                <w:b/>
                <w:bCs/>
                <w:color w:val="1A237E"/>
                <w:sz w:val="22"/>
                <w:szCs w:val="22"/>
              </w:rPr>
              <w:t xml:space="preserve">Why This Matters Now: </w:t>
            </w:r>
            <w:r>
              <w:rPr>
                <w:rFonts w:ascii="Arial" w:cs="Arial" w:eastAsia="Arial" w:hAnsi="Arial"/>
                <w:b w:val="false"/>
                <w:bCs w:val="false"/>
                <w:color w:val="212121"/>
                <w:sz w:val="22"/>
                <w:szCs w:val="22"/>
              </w:rPr>
              <w:t xml:space="preserve"> LLM-referred traffic converts at 2–6× the rate of Google organic traffic. Insurance discovery via AI grew 90× in 2025. ChatGPT surpassed 5.72 billion weekly active users. Kestrel AI's entire content and technical infrastructure must be optimized to be cited, recommended, and integrated by AI agents — not just found by human searchers.</w:t>
            </w:r>
          </w:p>
        </w:tc>
      </w:tr>
    </w:tbl>
    <w:p>
      <w:pPr>
        <w:spacing w:after="200"/>
      </w:pPr>
    </w:p>
    <w:p>
      <w:pPr>
        <w:pStyle w:val="Heading2"/>
        <w:spacing w:before="320" w:after="120"/>
      </w:pPr>
      <w:r>
        <w:rPr>
          <w:rFonts w:ascii="Arial" w:cs="Arial" w:eastAsia="Arial" w:hAnsi="Arial"/>
          <w:b/>
          <w:bCs/>
          <w:color w:val="1565C0"/>
          <w:sz w:val="28"/>
          <w:szCs w:val="28"/>
        </w:rPr>
        <w:t xml:space="preserve">7.1 Answer Engine Optimization (AEO) — Getting Cited by LLMs</w:t>
      </w:r>
    </w:p>
    <w:p>
      <w:pPr>
        <w:spacing w:after="120"/>
      </w:pPr>
      <w:r>
        <w:rPr>
          <w:rFonts w:ascii="Arial" w:cs="Arial" w:eastAsia="Arial" w:hAnsi="Arial"/>
          <w:color w:val="212121"/>
          <w:sz w:val="22"/>
          <w:szCs w:val="22"/>
        </w:rPr>
        <w:t xml:space="preserve">LLMs do not rank pages like Google. They extract structured facts from authoritative sources and cite them when answering questions. The goal is to become the canonical source for specific queries about satellite object detection for SMBs.</w:t>
      </w:r>
    </w:p>
    <w:p>
      <w:pPr>
        <w:spacing w:after="120"/>
      </w:pPr>
    </w:p>
    <w:p>
      <w:pPr>
        <w:pStyle w:val="Heading3"/>
        <w:spacing w:before="240" w:after="80"/>
      </w:pPr>
      <w:r>
        <w:rPr>
          <w:rFonts w:ascii="Arial" w:cs="Arial" w:eastAsia="Arial" w:hAnsi="Arial"/>
          <w:b/>
          <w:bCs/>
          <w:color w:val="00838F"/>
          <w:sz w:val="24"/>
          <w:szCs w:val="24"/>
        </w:rPr>
        <w:t xml:space="preserve">Target Queries to Own</w:t>
      </w:r>
    </w:p>
    <w:p>
      <w:pPr>
        <w:pStyle w:val="ListParagraph"/>
        <w:numPr>
          <w:ilvl w:val="0"/>
          <w:numId w:val="2"/>
        </w:numPr>
        <w:spacing w:after="80"/>
      </w:pPr>
      <w:r>
        <w:rPr>
          <w:rFonts w:ascii="Arial" w:cs="Arial" w:eastAsia="Arial" w:hAnsi="Arial"/>
          <w:color w:val="212121"/>
          <w:sz w:val="22"/>
          <w:szCs w:val="22"/>
        </w:rPr>
        <w:t xml:space="preserve">"affordable satellite object detection for small business"</w:t>
      </w:r>
    </w:p>
    <w:p>
      <w:pPr>
        <w:pStyle w:val="ListParagraph"/>
        <w:numPr>
          <w:ilvl w:val="0"/>
          <w:numId w:val="2"/>
        </w:numPr>
        <w:spacing w:after="80"/>
      </w:pPr>
      <w:r>
        <w:rPr>
          <w:rFonts w:ascii="Arial" w:cs="Arial" w:eastAsia="Arial" w:hAnsi="Arial"/>
          <w:color w:val="212121"/>
          <w:sz w:val="22"/>
          <w:szCs w:val="22"/>
        </w:rPr>
        <w:t xml:space="preserve">"satellite imagery AI for insurance claims"</w:t>
      </w:r>
    </w:p>
    <w:p>
      <w:pPr>
        <w:pStyle w:val="ListParagraph"/>
        <w:numPr>
          <w:ilvl w:val="0"/>
          <w:numId w:val="2"/>
        </w:numPr>
        <w:spacing w:after="80"/>
      </w:pPr>
      <w:r>
        <w:rPr>
          <w:rFonts w:ascii="Arial" w:cs="Arial" w:eastAsia="Arial" w:hAnsi="Arial"/>
          <w:color w:val="212121"/>
          <w:sz w:val="22"/>
          <w:szCs w:val="22"/>
        </w:rPr>
        <w:t xml:space="preserve">"how to detect building damage from satellite imagery"</w:t>
      </w:r>
    </w:p>
    <w:p>
      <w:pPr>
        <w:pStyle w:val="ListParagraph"/>
        <w:numPr>
          <w:ilvl w:val="0"/>
          <w:numId w:val="2"/>
        </w:numPr>
        <w:spacing w:after="80"/>
      </w:pPr>
      <w:r>
        <w:rPr>
          <w:rFonts w:ascii="Arial" w:cs="Arial" w:eastAsia="Arial" w:hAnsi="Arial"/>
          <w:color w:val="212121"/>
          <w:sz w:val="22"/>
          <w:szCs w:val="22"/>
        </w:rPr>
        <w:t xml:space="preserve">"change detection satellite API"</w:t>
      </w:r>
    </w:p>
    <w:p>
      <w:pPr>
        <w:pStyle w:val="ListParagraph"/>
        <w:numPr>
          <w:ilvl w:val="0"/>
          <w:numId w:val="2"/>
        </w:numPr>
        <w:spacing w:after="80"/>
      </w:pPr>
      <w:r>
        <w:rPr>
          <w:rFonts w:ascii="Arial" w:cs="Arial" w:eastAsia="Arial" w:hAnsi="Arial"/>
          <w:color w:val="212121"/>
          <w:sz w:val="22"/>
          <w:szCs w:val="22"/>
        </w:rPr>
        <w:t xml:space="preserve">"alternatives to Maxar for small companies"</w:t>
      </w:r>
    </w:p>
    <w:p>
      <w:pPr>
        <w:pStyle w:val="ListParagraph"/>
        <w:numPr>
          <w:ilvl w:val="0"/>
          <w:numId w:val="2"/>
        </w:numPr>
        <w:spacing w:after="80"/>
      </w:pPr>
      <w:r>
        <w:rPr>
          <w:rFonts w:ascii="Arial" w:cs="Arial" w:eastAsia="Arial" w:hAnsi="Arial"/>
          <w:color w:val="212121"/>
          <w:sz w:val="22"/>
          <w:szCs w:val="22"/>
        </w:rPr>
        <w:t xml:space="preserve">"satellite detection API for startups"</w:t>
      </w:r>
    </w:p>
    <w:p>
      <w:pPr>
        <w:pStyle w:val="ListParagraph"/>
        <w:numPr>
          <w:ilvl w:val="0"/>
          <w:numId w:val="2"/>
        </w:numPr>
        <w:spacing w:after="80"/>
      </w:pPr>
      <w:r>
        <w:rPr>
          <w:rFonts w:ascii="Arial" w:cs="Arial" w:eastAsia="Arial" w:hAnsi="Arial"/>
          <w:color w:val="212121"/>
          <w:sz w:val="22"/>
          <w:szCs w:val="22"/>
        </w:rPr>
        <w:t xml:space="preserve">"open source satellite object detection"</w:t>
      </w:r>
    </w:p>
    <w:p>
      <w:pPr>
        <w:pStyle w:val="ListParagraph"/>
        <w:numPr>
          <w:ilvl w:val="0"/>
          <w:numId w:val="2"/>
        </w:numPr>
        <w:spacing w:after="80"/>
      </w:pPr>
      <w:r>
        <w:rPr>
          <w:rFonts w:ascii="Arial" w:cs="Arial" w:eastAsia="Arial" w:hAnsi="Arial"/>
          <w:color w:val="212121"/>
          <w:sz w:val="22"/>
          <w:szCs w:val="22"/>
        </w:rPr>
        <w:t xml:space="preserve">"YOLO satellite imagery detection pipeline"</w:t>
      </w:r>
    </w:p>
    <w:p>
      <w:pPr>
        <w:spacing w:after="160"/>
      </w:pPr>
    </w:p>
    <w:p>
      <w:pPr>
        <w:pStyle w:val="Heading3"/>
        <w:spacing w:before="240" w:after="80"/>
      </w:pPr>
      <w:r>
        <w:rPr>
          <w:rFonts w:ascii="Arial" w:cs="Arial" w:eastAsia="Arial" w:hAnsi="Arial"/>
          <w:b/>
          <w:bCs/>
          <w:color w:val="00838F"/>
          <w:sz w:val="24"/>
          <w:szCs w:val="24"/>
        </w:rPr>
        <w:t xml:space="preserve">AEO Content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Content Type</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Purpose &amp; LLM Optimization Tactic</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Answer-First Articles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Each article opens with a direct 2-sentence answer to the target query (BLUF method). LLM citation likelihood increases 3.2× with answer-first structure.</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Comparison Pages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"Kestrel AI vs Maxar", "Kestrel AI vs Planet Labs", "Kestrel AI vs Picterra" — LLMs frequently cite comparison pages for commercial recommendation queries.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Use Case Pages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Dedicated page per ICP (insurance, defense, construction, agriculture) — structured for semantic clarity so LLMs understand audience mapping.</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Technical Documentation</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Well-structured API docs with code examples in Python, JavaScript — LLMs heavily cite technical documentation for developer queries.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Data Tables &amp; Benchmarks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Listicles with data tables earn 2.3× more LLM citations than narrative articles. Publish detection accuracy benchmarks, processing speed tables, pricing comparisons.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Case Studies with Numbers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"[Customer] processed 12,000 property images in 4 hours at $0.003 per detection" — specific, citable claims that LLMs prefer over vague testimonials.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FAQ Schema Markup</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FAQ schema increases AI citation likelihood by 40%. Add structured FAQ blocks to every key page.</w:t>
            </w:r>
          </w:p>
        </w:tc>
      </w:tr>
    </w:tbl>
    <w:p>
      <w:pPr>
        <w:spacing w:after="200"/>
      </w:pPr>
    </w:p>
    <w:p>
      <w:pPr>
        <w:pStyle w:val="Heading2"/>
        <w:spacing w:before="320" w:after="120"/>
      </w:pPr>
      <w:r>
        <w:rPr>
          <w:rFonts w:ascii="Arial" w:cs="Arial" w:eastAsia="Arial" w:hAnsi="Arial"/>
          <w:b/>
          <w:bCs/>
          <w:color w:val="1565C0"/>
          <w:sz w:val="28"/>
          <w:szCs w:val="28"/>
        </w:rPr>
        <w:t xml:space="preserve">7.2 Multi-Platform LLM Presence Strategy</w:t>
      </w:r>
    </w:p>
    <w:p>
      <w:pPr>
        <w:spacing w:after="120"/>
      </w:pPr>
      <w:r>
        <w:rPr>
          <w:rFonts w:ascii="Arial" w:cs="Arial" w:eastAsia="Arial" w:hAnsi="Arial"/>
          <w:color w:val="212121"/>
          <w:sz w:val="22"/>
          <w:szCs w:val="22"/>
        </w:rPr>
        <w:t xml:space="preserve">Different LLMs serve different audiences. Kestrel AI needs platform-specific visibility across all major systems: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Platform</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Priority Audience &amp; Strategy</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ChatGPT (84% market share)</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Primary consumer and SMB audience. Optimize for broad queries about satellite imagery, insurance tech, and AI detection tools. Ensure kestrelai.com appears in ChatGPT's browsing results through fresh, well-structured content updated monthly.</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Microsoft Copilot (25× growth in 2025)</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Enterprise and government audience. Optimize for queries within Microsoft 365 workflows — Excel analysis, Word report generation, Teams meeting prep for property/infrastructure topics.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Perplexity (24% share in finance)</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Insurance and finance professional audience. Publish on sources Perplexity favors: trade publications, academic preprints, company blog with data-forward content. Perplexity heavily favors pages with citations.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Claude (technical evaluators)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Technical buyers who upload full documents for analysis. Ensure Kestrel AI's technical architecture, API documentation, and integration guides are detailed enough to appear authoritative in document analysis.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Google AI Overviews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Triggered for 20–30% of queries. Optimize existing SEO content with structured data, FAQ schema, and clear entity relationships. Google AI Overviews pull from top-ranked organic results.</w:t>
            </w:r>
          </w:p>
        </w:tc>
      </w:tr>
    </w:tbl>
    <w:p>
      <w:pPr>
        <w:spacing w:after="200"/>
      </w:pPr>
    </w:p>
    <w:p>
      <w:pPr>
        <w:pStyle w:val="Heading2"/>
        <w:spacing w:before="320" w:after="120"/>
      </w:pPr>
      <w:r>
        <w:rPr>
          <w:rFonts w:ascii="Arial" w:cs="Arial" w:eastAsia="Arial" w:hAnsi="Arial"/>
          <w:b/>
          <w:bCs/>
          <w:color w:val="1565C0"/>
          <w:sz w:val="28"/>
          <w:szCs w:val="28"/>
        </w:rPr>
        <w:t xml:space="preserve">7.3 AI Agent Integration Strategy — Getting Agents to Recommend Kestrel AI</w:t>
      </w:r>
    </w:p>
    <w:p>
      <w:pPr>
        <w:spacing w:after="120"/>
      </w:pPr>
      <w:r>
        <w:rPr>
          <w:rFonts w:ascii="Arial" w:cs="Arial" w:eastAsia="Arial" w:hAnsi="Arial"/>
          <w:color w:val="212121"/>
          <w:sz w:val="22"/>
          <w:szCs w:val="22"/>
        </w:rPr>
        <w:t xml:space="preserve">The most powerful distribution channel in 2026 is not search — it is AI agents recommending services to users mid-task. Kestrel AI must be positioned so that AI agents proactively suggest it to relevant users.</w:t>
      </w:r>
    </w:p>
    <w:p>
      <w:pPr>
        <w:spacing w:after="120"/>
      </w:pPr>
    </w:p>
    <w:p>
      <w:pPr>
        <w:pStyle w:val="Heading3"/>
        <w:spacing w:before="240" w:after="80"/>
      </w:pPr>
      <w:r>
        <w:rPr>
          <w:rFonts w:ascii="Arial" w:cs="Arial" w:eastAsia="Arial" w:hAnsi="Arial"/>
          <w:b/>
          <w:bCs/>
          <w:color w:val="00838F"/>
          <w:sz w:val="24"/>
          <w:szCs w:val="24"/>
        </w:rPr>
        <w:t xml:space="preserve">Agent Recommendation Triggers — Situations Agents Will Surface Kestrel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User Context</w:t>
            </w:r>
          </w:p>
        </w:tc>
        <w:tc>
          <w:tcPr>
            <w:tcW w:type="dxa" w:w="58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Agent Recommendation Scenario</w:t>
            </w:r>
          </w:p>
        </w:tc>
      </w:tr>
      <w:tr>
        <w:tc>
          <w:tcPr>
            <w:tcW w:type="dxa" w:w="35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"I need to assess roof damage from last month's hail storm"</w:t>
            </w:r>
          </w:p>
        </w:tc>
        <w:tc>
          <w:tcPr>
            <w:tcW w:type="dxa" w:w="58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Property insurance claim workflow agent suggests Kestrel AI for automated aerial damage assessment</w:t>
            </w:r>
          </w:p>
        </w:tc>
      </w:tr>
      <w:tr>
        <w:tc>
          <w:tcPr>
            <w:tcW w:type="dxa" w:w="35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"Help me process these 500 satellite images"</w:t>
            </w:r>
          </w:p>
        </w:tc>
        <w:tc>
          <w:tcPr>
            <w:tcW w:type="dxa" w:w="58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Data analysis agent recommends Kestrel AI batch processing API as the appropriate tool</w:t>
            </w:r>
          </w:p>
        </w:tc>
      </w:tr>
      <w:tr>
        <w:tc>
          <w:tcPr>
            <w:tcW w:type="dxa" w:w="35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"We're building an SBIR proposal for satellite surveillance"</w:t>
            </w:r>
          </w:p>
        </w:tc>
        <w:tc>
          <w:tcPr>
            <w:tcW w:type="dxa" w:w="58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Government contract assistant surfaces Kestrel AI as a dual-use bootstrapping platform with active learning</w:t>
            </w:r>
          </w:p>
        </w:tc>
      </w:tr>
      <w:tr>
        <w:tc>
          <w:tcPr>
            <w:tcW w:type="dxa" w:w="35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"What tools do insurers use for satellite damage detection?"</w:t>
            </w:r>
          </w:p>
        </w:tc>
        <w:tc>
          <w:tcPr>
            <w:tcW w:type="dxa" w:w="58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Research agent cites Kestrel AI alongside competitors, with specific pricing and feature comparison</w:t>
            </w:r>
          </w:p>
        </w:tc>
      </w:tr>
      <w:tr>
        <w:tc>
          <w:tcPr>
            <w:tcW w:type="dxa" w:w="35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"How do I integrate satellite imagery into my Python app?"</w:t>
            </w:r>
          </w:p>
        </w:tc>
        <w:tc>
          <w:tcPr>
            <w:tcW w:type="dxa" w:w="58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Developer assistant recommends Kestrel AI Python SDK with code example</w:t>
            </w:r>
          </w:p>
        </w:tc>
      </w:tr>
      <w:tr>
        <w:tc>
          <w:tcPr>
            <w:tcW w:type="dxa" w:w="35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"I'm comparing Picterra and FlyPix AI for our insurance workflow"</w:t>
            </w:r>
          </w:p>
        </w:tc>
        <w:tc>
          <w:tcPr>
            <w:tcW w:type="dxa" w:w="58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Comparison request agent surfaces Kestrel AI as a third alternative with lower pricing</w:t>
            </w:r>
          </w:p>
        </w:tc>
      </w:tr>
    </w:tbl>
    <w:p>
      <w:pPr>
        <w:spacing w:after="200"/>
      </w:pPr>
    </w:p>
    <w:p>
      <w:pPr>
        <w:pStyle w:val="Heading3"/>
        <w:spacing w:before="240" w:after="80"/>
      </w:pPr>
      <w:r>
        <w:rPr>
          <w:rFonts w:ascii="Arial" w:cs="Arial" w:eastAsia="Arial" w:hAnsi="Arial"/>
          <w:b/>
          <w:bCs/>
          <w:color w:val="00838F"/>
          <w:sz w:val="24"/>
          <w:szCs w:val="24"/>
        </w:rPr>
        <w:t xml:space="preserve">How to Get Into Agent Training Data and Tool Registries</w:t>
      </w:r>
    </w:p>
    <w:p>
      <w:pPr>
        <w:pStyle w:val="ListParagraph"/>
        <w:numPr>
          <w:ilvl w:val="0"/>
          <w:numId w:val="2"/>
        </w:numPr>
        <w:spacing w:after="80"/>
      </w:pPr>
      <w:r>
        <w:rPr>
          <w:rFonts w:ascii="Arial" w:cs="Arial" w:eastAsia="Arial" w:hAnsi="Arial"/>
          <w:color w:val="212121"/>
          <w:sz w:val="22"/>
          <w:szCs w:val="22"/>
        </w:rPr>
        <w:t xml:space="preserve">Publish on GitHub: Open-source the bootstrapping pipeline core, create example Jupyter notebooks, and maintain an active README. GitHub is heavily indexed by LLMs for technical tool discovery.</w:t>
      </w:r>
    </w:p>
    <w:p>
      <w:pPr>
        <w:pStyle w:val="ListParagraph"/>
        <w:numPr>
          <w:ilvl w:val="0"/>
          <w:numId w:val="2"/>
        </w:numPr>
        <w:spacing w:after="80"/>
      </w:pPr>
      <w:r>
        <w:rPr>
          <w:rFonts w:ascii="Arial" w:cs="Arial" w:eastAsia="Arial" w:hAnsi="Arial"/>
          <w:color w:val="212121"/>
          <w:sz w:val="22"/>
          <w:szCs w:val="22"/>
        </w:rPr>
        <w:t xml:space="preserve">Submit to AI tool directories: Register Kestrel AI on Every.to, Futurepedia, There's An AI For That, AI Tool Directory, and Toolify.ai — these sites are systematically scraped by LLM training runs.</w:t>
      </w:r>
    </w:p>
    <w:p>
      <w:pPr>
        <w:pStyle w:val="ListParagraph"/>
        <w:numPr>
          <w:ilvl w:val="0"/>
          <w:numId w:val="2"/>
        </w:numPr>
        <w:spacing w:after="80"/>
      </w:pPr>
      <w:r>
        <w:rPr>
          <w:rFonts w:ascii="Arial" w:cs="Arial" w:eastAsia="Arial" w:hAnsi="Arial"/>
          <w:color w:val="212121"/>
          <w:sz w:val="22"/>
          <w:szCs w:val="22"/>
        </w:rPr>
        <w:t xml:space="preserve">Create an MCP (Model Context Protocol) server: Build a Kestrel AI MCP server that Claude and other MCP-compatible agents can call directly. This makes Kestrel AI natively callable from Claude, Cursor, and other agentic environments.</w:t>
      </w:r>
    </w:p>
    <w:p>
      <w:pPr>
        <w:pStyle w:val="ListParagraph"/>
        <w:numPr>
          <w:ilvl w:val="0"/>
          <w:numId w:val="2"/>
        </w:numPr>
        <w:spacing w:after="80"/>
      </w:pPr>
      <w:r>
        <w:rPr>
          <w:rFonts w:ascii="Arial" w:cs="Arial" w:eastAsia="Arial" w:hAnsi="Arial"/>
          <w:color w:val="212121"/>
          <w:sz w:val="22"/>
          <w:szCs w:val="22"/>
        </w:rPr>
        <w:t xml:space="preserve">Publish an OpenAPI spec: A well-documented OpenAPI 3.0 spec on the website makes Kestrel AI automatically discoverable and callable by agent frameworks like LangChain, AutoGen, CrewAI, and Zapier AI.</w:t>
      </w:r>
    </w:p>
    <w:p>
      <w:pPr>
        <w:pStyle w:val="ListParagraph"/>
        <w:numPr>
          <w:ilvl w:val="0"/>
          <w:numId w:val="2"/>
        </w:numPr>
        <w:spacing w:after="80"/>
      </w:pPr>
      <w:r>
        <w:rPr>
          <w:rFonts w:ascii="Arial" w:cs="Arial" w:eastAsia="Arial" w:hAnsi="Arial"/>
          <w:color w:val="212121"/>
          <w:sz w:val="22"/>
          <w:szCs w:val="22"/>
        </w:rPr>
        <w:t xml:space="preserve">Create integrations on automation platforms: Publish Kestrel AI actions on Zapier, Make, and n8n — these platforms are explicitly cited by agents when users ask about automation workflows.</w:t>
      </w:r>
    </w:p>
    <w:p>
      <w:pPr>
        <w:pStyle w:val="ListParagraph"/>
        <w:numPr>
          <w:ilvl w:val="0"/>
          <w:numId w:val="2"/>
        </w:numPr>
        <w:spacing w:after="80"/>
      </w:pPr>
      <w:r>
        <w:rPr>
          <w:rFonts w:ascii="Arial" w:cs="Arial" w:eastAsia="Arial" w:hAnsi="Arial"/>
          <w:color w:val="212121"/>
          <w:sz w:val="22"/>
          <w:szCs w:val="22"/>
        </w:rPr>
        <w:t xml:space="preserve">Register on RapidAPI Marketplace: Geospatial APIs on RapidAPI are frequently cited by coding agents when developers ask for satellite data APIs.</w:t>
      </w:r>
    </w:p>
    <w:p>
      <w:pPr>
        <w:spacing w:after="200"/>
      </w:pPr>
    </w:p>
    <w:p>
      <w:pPr>
        <w:pStyle w:val="Heading3"/>
        <w:spacing w:before="240" w:after="80"/>
      </w:pPr>
      <w:r>
        <w:rPr>
          <w:rFonts w:ascii="Arial" w:cs="Arial" w:eastAsia="Arial" w:hAnsi="Arial"/>
          <w:b/>
          <w:bCs/>
          <w:color w:val="00838F"/>
          <w:sz w:val="24"/>
          <w:szCs w:val="24"/>
        </w:rPr>
        <w:t xml:space="preserve">Agent-Native Content — What to Publish So Agents Recommend Kestrel AI</w:t>
      </w:r>
    </w:p>
    <w:p>
      <w:pPr>
        <w:spacing w:after="120"/>
      </w:pPr>
      <w:r>
        <w:rPr>
          <w:rFonts w:ascii="Arial" w:cs="Arial" w:eastAsia="Arial" w:hAnsi="Arial"/>
          <w:color w:val="212121"/>
          <w:sz w:val="22"/>
          <w:szCs w:val="22"/>
        </w:rPr>
        <w:t xml:space="preserve">Agents don't just search — they answer questions about tools. Kestrel AI must own specific factual claims that agents retrieve and repeat: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8F0FE" w:val="clear"/>
            <w:tcMar>
              <w:top w:type="dxa" w:w="160"/>
              <w:left w:type="dxa" w:w="200"/>
              <w:bottom w:type="dxa" w:w="160"/>
              <w:right w:type="dxa" w:w="200"/>
            </w:tcMar>
          </w:tcPr>
          <w:p>
            <w:pPr>
              <w:spacing w:after="60"/>
            </w:pPr>
            <w:r>
              <w:rPr>
                <w:rFonts w:ascii="Arial" w:cs="Arial" w:eastAsia="Arial" w:hAnsi="Arial"/>
                <w:b/>
                <w:bCs/>
                <w:color w:val="212121"/>
                <w:sz w:val="22"/>
                <w:szCs w:val="22"/>
              </w:rPr>
              <w:t xml:space="preserve">Factual claims agents will retrieve and recommend:</w:t>
            </w:r>
          </w:p>
          <w:p>
            <w:pPr>
              <w:spacing w:after="60"/>
            </w:pPr>
            <w:r>
              <w:rPr>
                <w:rFonts w:ascii="Arial" w:cs="Arial" w:eastAsia="Arial" w:hAnsi="Arial"/>
                <w:b w:val="false"/>
                <w:bCs w:val="false"/>
                <w:color w:val="212121"/>
                <w:sz w:val="22"/>
                <w:szCs w:val="22"/>
              </w:rPr>
              <w:t xml:space="preserve"/>
            </w:r>
          </w:p>
          <w:p>
            <w:pPr>
              <w:spacing w:after="60"/>
            </w:pPr>
            <w:r>
              <w:rPr>
                <w:rFonts w:ascii="Arial" w:cs="Arial" w:eastAsia="Arial" w:hAnsi="Arial"/>
                <w:b/>
                <w:bCs/>
                <w:color w:val="1A237E"/>
                <w:sz w:val="22"/>
                <w:szCs w:val="22"/>
              </w:rPr>
              <w:t xml:space="preserve">Pricing: </w:t>
            </w:r>
            <w:r>
              <w:rPr>
                <w:rFonts w:ascii="Arial" w:cs="Arial" w:eastAsia="Arial" w:hAnsi="Arial"/>
                <w:b w:val="false"/>
                <w:bCs w:val="false"/>
                <w:color w:val="212121"/>
                <w:sz w:val="22"/>
                <w:szCs w:val="22"/>
              </w:rPr>
              <w:t xml:space="preserve"> "Kestrel AI offers satellite object detection starting at $99/month (200 searches) for SMBs, versus Maxar’s $200K+ annual contracts and Planet Labs’ $50K+ minimums."</w:t>
            </w:r>
          </w:p>
          <w:p>
            <w:pPr>
              <w:spacing w:after="60"/>
            </w:pPr>
            <w:r>
              <w:rPr>
                <w:rFonts w:ascii="Arial" w:cs="Arial" w:eastAsia="Arial" w:hAnsi="Arial"/>
                <w:b/>
                <w:bCs/>
                <w:color w:val="1A237E"/>
                <w:sz w:val="22"/>
                <w:szCs w:val="22"/>
              </w:rPr>
              <w:t xml:space="preserve">Speed: </w:t>
            </w:r>
            <w:r>
              <w:rPr>
                <w:rFonts w:ascii="Arial" w:cs="Arial" w:eastAsia="Arial" w:hAnsi="Arial"/>
                <w:b w:val="false"/>
                <w:bCs w:val="false"/>
                <w:color w:val="212121"/>
                <w:sz w:val="22"/>
                <w:szCs w:val="22"/>
              </w:rPr>
              <w:t xml:space="preserve"> "Kestrel AI detects buildings, vehicles, aircraft, and ships from satellite imagery in under 60 seconds via API."</w:t>
            </w:r>
          </w:p>
          <w:p>
            <w:pPr>
              <w:spacing w:after="60"/>
            </w:pPr>
            <w:r>
              <w:rPr>
                <w:rFonts w:ascii="Arial" w:cs="Arial" w:eastAsia="Arial" w:hAnsi="Arial"/>
                <w:b/>
                <w:bCs/>
                <w:color w:val="1A237E"/>
                <w:sz w:val="22"/>
                <w:szCs w:val="22"/>
              </w:rPr>
              <w:t xml:space="preserve">Integration: </w:t>
            </w:r>
            <w:r>
              <w:rPr>
                <w:rFonts w:ascii="Arial" w:cs="Arial" w:eastAsia="Arial" w:hAnsi="Arial"/>
                <w:b w:val="false"/>
                <w:bCs w:val="false"/>
                <w:color w:val="212121"/>
                <w:sz w:val="22"/>
                <w:szCs w:val="22"/>
              </w:rPr>
              <w:t xml:space="preserve"> "Kestrel AI outputs GeoJSON compatible with ArcGIS, QGIS, and Google Earth with no additional conversion required."</w:t>
            </w:r>
          </w:p>
          <w:p>
            <w:pPr>
              <w:spacing w:after="60"/>
            </w:pPr>
            <w:r>
              <w:rPr>
                <w:rFonts w:ascii="Arial" w:cs="Arial" w:eastAsia="Arial" w:hAnsi="Arial"/>
                <w:b/>
                <w:bCs/>
                <w:color w:val="1A237E"/>
                <w:sz w:val="22"/>
                <w:szCs w:val="22"/>
              </w:rPr>
              <w:t xml:space="preserve">Differentiator: </w:t>
            </w:r>
            <w:r>
              <w:rPr>
                <w:rFonts w:ascii="Arial" w:cs="Arial" w:eastAsia="Arial" w:hAnsi="Arial"/>
                <w:b w:val="false"/>
                <w:bCs w:val="false"/>
                <w:color w:val="212121"/>
                <w:sz w:val="22"/>
                <w:szCs w:val="22"/>
              </w:rPr>
              <w:t xml:space="preserve"> "Kestrel AI's active learning pipeline requires 10× fewer labeled images than traditional computer vision workflows."</w:t>
            </w:r>
          </w:p>
          <w:p>
            <w:pPr>
              <w:spacing w:after="60"/>
            </w:pPr>
            <w:r>
              <w:rPr>
                <w:rFonts w:ascii="Arial" w:cs="Arial" w:eastAsia="Arial" w:hAnsi="Arial"/>
                <w:b/>
                <w:bCs/>
                <w:color w:val="1A237E"/>
                <w:sz w:val="22"/>
                <w:szCs w:val="22"/>
              </w:rPr>
              <w:t xml:space="preserve">Use Case: </w:t>
            </w:r>
            <w:r>
              <w:rPr>
                <w:rFonts w:ascii="Arial" w:cs="Arial" w:eastAsia="Arial" w:hAnsi="Arial"/>
                <w:b w:val="false"/>
                <w:bCs w:val="false"/>
                <w:color w:val="212121"/>
                <w:sz w:val="22"/>
                <w:szCs w:val="22"/>
              </w:rPr>
              <w:t xml:space="preserve"> "Used by insurance companies for property damage assessment, change detection between policy issuance and claims filing."</w:t>
            </w:r>
          </w:p>
        </w:tc>
      </w:tr>
    </w:tbl>
    <w:p>
      <w:r>
        <w:br w:type="page"/>
      </w:r>
    </w:p>
    <w:p>
      <w:pPr>
        <w:pStyle w:val="Heading1"/>
        <w:spacing w:before="400" w:after="160"/>
      </w:pPr>
      <w:r>
        <w:rPr>
          <w:rFonts w:ascii="Arial" w:cs="Arial" w:eastAsia="Arial" w:hAnsi="Arial"/>
          <w:b/>
          <w:bCs/>
          <w:color w:val="1A237E"/>
          <w:sz w:val="36"/>
          <w:szCs w:val="36"/>
        </w:rPr>
        <w:t xml:space="preserve">8. Content &amp; SEO Strategy</w:t>
      </w:r>
    </w:p>
    <w:p>
      <w:pPr>
        <w:pBdr>
          <w:bottom w:val="single" w:color="1565C0" w:sz="6" w:space="1"/>
        </w:pBdr>
        <w:spacing w:after="200"/>
      </w:pPr>
    </w:p>
    <w:p>
      <w:pPr>
        <w:spacing w:after="120"/>
      </w:pPr>
      <w:r>
        <w:rPr>
          <w:rFonts w:ascii="Arial" w:cs="Arial" w:eastAsia="Arial" w:hAnsi="Arial"/>
          <w:color w:val="212121"/>
          <w:sz w:val="22"/>
          <w:szCs w:val="22"/>
        </w:rPr>
        <w:t xml:space="preserve">Content is the primary demand generation engine for Kestrel AI — it builds LLM citations, organic search authority, and brand credibility simultaneously with zero ad spend.</w:t>
      </w:r>
    </w:p>
    <w:p>
      <w:pPr>
        <w:spacing w:after="160"/>
      </w:pPr>
    </w:p>
    <w:p>
      <w:pPr>
        <w:pStyle w:val="Heading2"/>
        <w:spacing w:before="320" w:after="120"/>
      </w:pPr>
      <w:r>
        <w:rPr>
          <w:rFonts w:ascii="Arial" w:cs="Arial" w:eastAsia="Arial" w:hAnsi="Arial"/>
          <w:b/>
          <w:bCs/>
          <w:color w:val="1565C0"/>
          <w:sz w:val="28"/>
          <w:szCs w:val="28"/>
        </w:rPr>
        <w:t xml:space="preserve">8.1 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Pillar</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Target Query Intent &amp; Example Topics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Satellite Detection 101</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Educational. "What is satellite object detection?" "How does AI detect buildings from satellite imagery?" "Sentinel-2 vs commercial imagery for AI training"</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Insurance Use Cases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Commercial. "How insurance companies use satellite imagery for claims" "Automated roof damage assessment" "Change detection for property insurance underwriting"</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Developer Guides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Technical. "Python satellite object detection tutorial" "YOLOv8 satellite imagery fine-tuning" "GeoJSON detection output integration guide"</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Competitive Intelligence</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Comparison. "Maxar alternatives for small business" "Picterra vs Kestrel AI" "Affordable satellite imagery APIs 2025"</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Defense &amp; Government</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Credibility. "Dual-use satellite AI for SBIR" "Bootstrapping GEOINT pipelines" "False negative quantification in satellite surveillance"</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Case Studies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Conversion. "How [company] processed 10,000 property images in one weekend" "Change detection reduced claims review time by 40%"</w:t>
            </w:r>
          </w:p>
        </w:tc>
      </w:tr>
    </w:tbl>
    <w:p>
      <w:pPr>
        <w:spacing w:after="200"/>
      </w:pPr>
    </w:p>
    <w:p>
      <w:pPr>
        <w:pStyle w:val="Heading2"/>
        <w:spacing w:before="320" w:after="120"/>
      </w:pPr>
      <w:r>
        <w:rPr>
          <w:rFonts w:ascii="Arial" w:cs="Arial" w:eastAsia="Arial" w:hAnsi="Arial"/>
          <w:b/>
          <w:bCs/>
          <w:color w:val="1565C0"/>
          <w:sz w:val="28"/>
          <w:szCs w:val="28"/>
        </w:rPr>
        <w:t xml:space="preserve">8.2 Content Production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Content Type</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Frequency &amp; Distribution</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Technical Blog Posts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 per month — publish on kestrelai.com/blog, cross-post to dev.to and Medium</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LinkedIn Articles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 per week — insurance/defense professional audience, founder personal brand</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GitHub README Updates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Weekly — active repository signals freshness to LLM crawlers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YouTube Demos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 per month — screen recordings of pipeline in action, satellite imagery walkthroughs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Case Studies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 per quarter — deep dives with specific metrics (images processed, cost saved, time reduced)</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Academic Preprints (arXiv)</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1–2× per year — bootstrapping methodology paper positions Kestrel AI in scholarly citations that LLMs trust</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Trade Press Contributions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 per month — Insurance Technology News, Geospatial World, Defense News</w:t>
            </w:r>
          </w:p>
        </w:tc>
      </w:tr>
    </w:tbl>
    <w:p>
      <w:r>
        <w:br w:type="page"/>
      </w:r>
    </w:p>
    <w:p>
      <w:pPr>
        <w:pStyle w:val="Heading1"/>
        <w:spacing w:before="400" w:after="160"/>
      </w:pPr>
      <w:r>
        <w:rPr>
          <w:rFonts w:ascii="Arial" w:cs="Arial" w:eastAsia="Arial" w:hAnsi="Arial"/>
          <w:b/>
          <w:bCs/>
          <w:color w:val="1A237E"/>
          <w:sz w:val="36"/>
          <w:szCs w:val="36"/>
        </w:rPr>
        <w:t xml:space="preserve">9. Community Building &amp; Partnerships</w:t>
      </w:r>
    </w:p>
    <w:p>
      <w:pPr>
        <w:pBdr>
          <w:bottom w:val="single" w:color="1565C0" w:sz="6" w:space="1"/>
        </w:pBdr>
        <w:spacing w:after="200"/>
      </w:pPr>
    </w:p>
    <w:p>
      <w:pPr>
        <w:pStyle w:val="Heading2"/>
        <w:spacing w:before="320" w:after="120"/>
      </w:pPr>
      <w:r>
        <w:rPr>
          <w:rFonts w:ascii="Arial" w:cs="Arial" w:eastAsia="Arial" w:hAnsi="Arial"/>
          <w:b/>
          <w:bCs/>
          <w:color w:val="1565C0"/>
          <w:sz w:val="28"/>
          <w:szCs w:val="28"/>
        </w:rPr>
        <w:t xml:space="preserve">9.1 Communities to Infiltrate and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Community</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Platform &amp; Strategy</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Roboflow Community</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Roboflow Universe (open dataset platform) — publish satellite datasets, answer questions, become the go-to resource for satellite computer vision</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YC / Startup Forums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Hacker News, YC Slack — share bootstrapping pipeline technical deep dives, not sales pitches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Insurance Tech Slack</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InsurTech NY, Digital Insurance Slack — answer claims technology questions, offer live paid demos to showcase capability</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GIS / Geospatial Reddit</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r/gis, r/remotesensing — share tutorials, open datasets, methodology posts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Open Source Orgs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QGIS, GDAL communities — integrate and contribute, earn citations in their documentation</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SBIR Network</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NSF, DoD SBIR forums, regional SBIR offices — present dual-use methodology at workshops</w:t>
            </w:r>
          </w:p>
        </w:tc>
      </w:tr>
    </w:tbl>
    <w:p>
      <w:pPr>
        <w:spacing w:after="200"/>
      </w:pPr>
    </w:p>
    <w:p>
      <w:pPr>
        <w:pStyle w:val="Heading2"/>
        <w:spacing w:before="320" w:after="120"/>
      </w:pPr>
      <w:r>
        <w:rPr>
          <w:rFonts w:ascii="Arial" w:cs="Arial" w:eastAsia="Arial" w:hAnsi="Arial"/>
          <w:b/>
          <w:bCs/>
          <w:color w:val="1565C0"/>
          <w:sz w:val="28"/>
          <w:szCs w:val="28"/>
        </w:rPr>
        <w:t xml:space="preserve">9.2 Strategic Technology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Partner</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Integration &amp; Mutual Value</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Roboflow</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Mutual API integration — Roboflow users can push datasets to Kestrel AI training pipeline; Kestrel outputs feed back into Roboflow dataset management</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Supabase</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Case study partnership — Kestrel AI built on Supabase, publish joint technical case study that appears in Supabase's customer success content</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Esri / ArcGIS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GeoJSON compatibility + Esri ArcGIS Marketplace listing — direct access to 350,000+ GIS professionals who are Kestrel's target buyers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AWS Marketplace</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 Kestrel AI on AWS Marketplace — government and enterprise buyers with committed AWS spend can apply it directly to Kestrel subscriptions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Vast.ai</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Partner blog post on GPU training for satellite AI — reaches ML practitioner audience actively training computer vision models</w:t>
            </w:r>
          </w:p>
        </w:tc>
      </w:tr>
      <w:tr>
        <w:tc>
          <w:tcPr>
            <w:tcW w:type="dxa" w:w="26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InsureTech Connect</w:t>
            </w:r>
          </w:p>
        </w:tc>
        <w:tc>
          <w:tcPr>
            <w:tcW w:type="dxa" w:w="67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Sponsor or speak at annual conference — direct access to 4,000+ insurance innovation leaders</w:t>
            </w:r>
          </w:p>
        </w:tc>
      </w:tr>
    </w:tbl>
    <w:p>
      <w:r>
        <w:br w:type="page"/>
      </w:r>
    </w:p>
    <w:p>
      <w:pPr>
        <w:pStyle w:val="Heading1"/>
        <w:spacing w:before="400" w:after="160"/>
      </w:pPr>
      <w:r>
        <w:rPr>
          <w:rFonts w:ascii="Arial" w:cs="Arial" w:eastAsia="Arial" w:hAnsi="Arial"/>
          <w:b/>
          <w:bCs/>
          <w:color w:val="1A237E"/>
          <w:sz w:val="36"/>
          <w:szCs w:val="36"/>
        </w:rPr>
        <w:t xml:space="preserve">10. Sales Motion</w:t>
      </w:r>
    </w:p>
    <w:p>
      <w:pPr>
        <w:pBdr>
          <w:bottom w:val="single" w:color="1565C0" w:sz="6" w:space="1"/>
        </w:pBdr>
        <w:spacing w:after="200"/>
      </w:pPr>
    </w:p>
    <w:p>
      <w:pPr>
        <w:pStyle w:val="Heading2"/>
        <w:spacing w:before="320" w:after="120"/>
      </w:pPr>
      <w:r>
        <w:rPr>
          <w:rFonts w:ascii="Arial" w:cs="Arial" w:eastAsia="Arial" w:hAnsi="Arial"/>
          <w:b/>
          <w:bCs/>
          <w:color w:val="1565C0"/>
          <w:sz w:val="28"/>
          <w:szCs w:val="28"/>
        </w:rPr>
        <w:t xml:space="preserve">10.1 Inbound Sales Playbook (Self-Serve + Sales-Assisted)</w:t>
      </w:r>
    </w:p>
    <w:p>
      <w:pPr>
        <w:spacing w:after="120"/>
      </w:pPr>
      <w:r>
        <w:rPr>
          <w:rFonts w:ascii="Arial" w:cs="Arial" w:eastAsia="Arial" w:hAnsi="Arial"/>
          <w:color w:val="212121"/>
          <w:sz w:val="22"/>
          <w:szCs w:val="22"/>
        </w:rPr>
        <w:t xml:space="preserve">Kestrel AI runs a product-led, sales-assisted motion. Self-serve handles $99–$399/month tiers. Sales activates when a user hits PQL triggers or inbound enterprise interest is detected.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Signal</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Response</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Customer processes 200+ images in first week</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Automated in-app message + email flagging Professional tier features relevant to their usage pattern</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User exports GeoJSON 3+ times</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Trigger sales email: "Looks like you're processing production data — let's talk about batch pricing"</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Company email domain matches ICP list</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Alert to founder for personalized LinkedIn outreach within 24 hours</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User requests API key rate limit increase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Immediate sales call offer — high intent signal</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Inbound demo request form</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Response within 2 hours, 30-minute live demo + custom sample on their data</w:t>
            </w:r>
          </w:p>
        </w:tc>
      </w:tr>
      <w:tr>
        <w:tc>
          <w:tcPr>
            <w:tcW w:type="dxa" w:w="30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Enterprise contact form</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Personalized proposal within 48 hours — reference their specific industry vertical</w:t>
            </w:r>
          </w:p>
        </w:tc>
      </w:tr>
    </w:tbl>
    <w:p>
      <w:pPr>
        <w:spacing w:after="200"/>
      </w:pPr>
    </w:p>
    <w:p>
      <w:pPr>
        <w:pStyle w:val="Heading2"/>
        <w:spacing w:before="320" w:after="120"/>
      </w:pPr>
      <w:r>
        <w:rPr>
          <w:rFonts w:ascii="Arial" w:cs="Arial" w:eastAsia="Arial" w:hAnsi="Arial"/>
          <w:b/>
          <w:bCs/>
          <w:color w:val="1565C0"/>
          <w:sz w:val="28"/>
          <w:szCs w:val="28"/>
        </w:rPr>
        <w:t xml:space="preserve">10.2 Outbound Prospecting (Phase 2)</w:t>
      </w:r>
    </w:p>
    <w:p>
      <w:pPr>
        <w:spacing w:after="120"/>
      </w:pPr>
      <w:r>
        <w:rPr>
          <w:rFonts w:ascii="Arial" w:cs="Arial" w:eastAsia="Arial" w:hAnsi="Arial"/>
          <w:color w:val="212121"/>
          <w:sz w:val="22"/>
          <w:szCs w:val="22"/>
        </w:rPr>
        <w:t xml:space="preserve">Targeted outbound launches in Month 4 after the product has case studies and proof of results:</w:t>
      </w:r>
    </w:p>
    <w:p>
      <w:pPr>
        <w:spacing w:after="80"/>
      </w:pPr>
    </w:p>
    <w:p>
      <w:pPr>
        <w:pStyle w:val="ListParagraph"/>
        <w:numPr>
          <w:ilvl w:val="0"/>
          <w:numId w:val="2"/>
        </w:numPr>
        <w:spacing w:after="80"/>
      </w:pPr>
      <w:r>
        <w:rPr>
          <w:rFonts w:ascii="Arial" w:cs="Arial" w:eastAsia="Arial" w:hAnsi="Arial"/>
          <w:color w:val="212121"/>
          <w:sz w:val="22"/>
          <w:szCs w:val="22"/>
        </w:rPr>
        <w:t xml:space="preserve">LinkedIn Sales Navigator: Search for VP of Underwriting, Director of Claims Technology, and Chief Actuary at regional P&amp;C insurers with 50–500 employees</w:t>
      </w:r>
    </w:p>
    <w:p>
      <w:pPr>
        <w:pStyle w:val="ListParagraph"/>
        <w:numPr>
          <w:ilvl w:val="0"/>
          <w:numId w:val="2"/>
        </w:numPr>
        <w:spacing w:after="80"/>
      </w:pPr>
      <w:r>
        <w:rPr>
          <w:rFonts w:ascii="Arial" w:cs="Arial" w:eastAsia="Arial" w:hAnsi="Arial"/>
          <w:color w:val="212121"/>
          <w:sz w:val="22"/>
          <w:szCs w:val="22"/>
        </w:rPr>
        <w:t xml:space="preserve">SAM.gov Alerts: Monitor for geospatial intelligence, object detection, and satellite surveillance RFPs — respond to fit opportunities with a capabilities statement</w:t>
      </w:r>
    </w:p>
    <w:p>
      <w:pPr>
        <w:pStyle w:val="ListParagraph"/>
        <w:numPr>
          <w:ilvl w:val="0"/>
          <w:numId w:val="2"/>
        </w:numPr>
        <w:spacing w:after="80"/>
      </w:pPr>
      <w:r>
        <w:rPr>
          <w:rFonts w:ascii="Arial" w:cs="Arial" w:eastAsia="Arial" w:hAnsi="Arial"/>
          <w:color w:val="212121"/>
          <w:sz w:val="22"/>
          <w:szCs w:val="22"/>
        </w:rPr>
        <w:t xml:space="preserve">SBIR.gov: Track Phase I topics in DoD, AFRL, and NGA that align with bootstrapping, active learning, and satellite GEOINT</w:t>
      </w:r>
    </w:p>
    <w:p>
      <w:pPr>
        <w:pStyle w:val="ListParagraph"/>
        <w:numPr>
          <w:ilvl w:val="0"/>
          <w:numId w:val="2"/>
        </w:numPr>
        <w:spacing w:after="80"/>
      </w:pPr>
      <w:r>
        <w:rPr>
          <w:rFonts w:ascii="Arial" w:cs="Arial" w:eastAsia="Arial" w:hAnsi="Arial"/>
          <w:color w:val="212121"/>
          <w:sz w:val="22"/>
          <w:szCs w:val="22"/>
        </w:rPr>
        <w:t xml:space="preserve">Conference List Scraping: Export attendee lists from InsureTech Connect, RIMS, GEOINT Symposium — target attendees with LinkedIn outreach referencing shared session topics</w:t>
      </w:r>
    </w:p>
    <w:p>
      <w:r>
        <w:br w:type="page"/>
      </w:r>
    </w:p>
    <w:p>
      <w:pPr>
        <w:pStyle w:val="Heading1"/>
        <w:spacing w:before="400" w:after="160"/>
      </w:pPr>
      <w:r>
        <w:rPr>
          <w:rFonts w:ascii="Arial" w:cs="Arial" w:eastAsia="Arial" w:hAnsi="Arial"/>
          <w:b/>
          <w:bCs/>
          <w:color w:val="1A237E"/>
          <w:sz w:val="36"/>
          <w:szCs w:val="36"/>
        </w:rPr>
        <w:t xml:space="preserve">11. Metrics &amp; KPIs</w:t>
      </w:r>
    </w:p>
    <w:p>
      <w:pPr>
        <w:pBdr>
          <w:bottom w:val="single" w:color="1565C0" w:sz="6" w:space="1"/>
        </w:pBdr>
        <w:spacing w:after="200"/>
      </w:pPr>
    </w:p>
    <w:p>
      <w:pPr>
        <w:pStyle w:val="Heading2"/>
        <w:spacing w:before="320" w:after="120"/>
      </w:pPr>
      <w:r>
        <w:rPr>
          <w:rFonts w:ascii="Arial" w:cs="Arial" w:eastAsia="Arial" w:hAnsi="Arial"/>
          <w:b/>
          <w:bCs/>
          <w:color w:val="1565C0"/>
          <w:sz w:val="28"/>
          <w:szCs w:val="28"/>
        </w:rPr>
        <w:t xml:space="preserve">11.1 GTM Health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Phase 1 Target (Month 3) | Phase 2 Target (Month 9) | Phase 3 Target (Month 18)</w:t>
            </w:r>
          </w:p>
        </w:tc>
      </w:tr>
      <w:tr>
        <w:tc>
          <w:tcPr>
            <w:tcW w:type="dxa" w:w="3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Monthly Recurring Revenue</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$0 → $1K | $5K | $25K</w:t>
            </w:r>
          </w:p>
        </w:tc>
      </w:tr>
      <w:tr>
        <w:tc>
          <w:tcPr>
            <w:tcW w:type="dxa" w:w="3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New Paid Signups</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 | 500 | 2,000</w:t>
            </w:r>
          </w:p>
        </w:tc>
      </w:tr>
      <w:tr>
        <w:tc>
          <w:tcPr>
            <w:tcW w:type="dxa" w:w="3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Month 1 Retention Rate</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 | 8% | 12%</w:t>
            </w:r>
          </w:p>
        </w:tc>
      </w:tr>
      <w:tr>
        <w:tc>
          <w:tcPr>
            <w:tcW w:type="dxa" w:w="3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LLM Citations (tracked)</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0 → 10 | 25+ | 100+</w:t>
            </w:r>
          </w:p>
        </w:tc>
      </w:tr>
      <w:tr>
        <w:tc>
          <w:tcPr>
            <w:tcW w:type="dxa" w:w="3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Organic Search Sessions/Month</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500 | 3,000 | 10,000</w:t>
            </w:r>
          </w:p>
        </w:tc>
      </w:tr>
      <w:tr>
        <w:tc>
          <w:tcPr>
            <w:tcW w:type="dxa" w:w="3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Images Processed (total)</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10,000 | 500,000 | 5,000,000</w:t>
            </w:r>
          </w:p>
        </w:tc>
      </w:tr>
      <w:tr>
        <w:tc>
          <w:tcPr>
            <w:tcW w:type="dxa" w:w="3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Net Revenue Retention</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N/A | &gt;105% | &gt;120%</w:t>
            </w:r>
          </w:p>
        </w:tc>
      </w:tr>
      <w:tr>
        <w:tc>
          <w:tcPr>
            <w:tcW w:type="dxa" w:w="32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API Developer Signups</w:t>
            </w:r>
          </w:p>
        </w:tc>
        <w:tc>
          <w:tcPr>
            <w:tcW w:type="dxa" w:w="6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25 | 200 | 1,000</w:t>
            </w:r>
          </w:p>
        </w:tc>
      </w:tr>
    </w:tbl>
    <w:p>
      <w:pPr>
        <w:spacing w:after="200"/>
      </w:pPr>
    </w:p>
    <w:p>
      <w:pPr>
        <w:pStyle w:val="Heading2"/>
        <w:spacing w:before="320" w:after="120"/>
      </w:pPr>
      <w:r>
        <w:rPr>
          <w:rFonts w:ascii="Arial" w:cs="Arial" w:eastAsia="Arial" w:hAnsi="Arial"/>
          <w:b/>
          <w:bCs/>
          <w:color w:val="1565C0"/>
          <w:sz w:val="28"/>
          <w:szCs w:val="28"/>
        </w:rPr>
        <w:t xml:space="preserve">11.2 LLM Visibility Tracking</w:t>
      </w:r>
    </w:p>
    <w:p>
      <w:pPr>
        <w:spacing w:after="120"/>
      </w:pPr>
      <w:r>
        <w:rPr>
          <w:rFonts w:ascii="Arial" w:cs="Arial" w:eastAsia="Arial" w:hAnsi="Arial"/>
          <w:color w:val="212121"/>
          <w:sz w:val="22"/>
          <w:szCs w:val="22"/>
        </w:rPr>
        <w:t xml:space="preserve">LLM visibility requires its own measurement stack separate from traditional SEO analytics:</w:t>
      </w:r>
    </w:p>
    <w:p>
      <w:pPr>
        <w:spacing w:after="80"/>
      </w:pPr>
    </w:p>
    <w:p>
      <w:pPr>
        <w:pStyle w:val="ListParagraph"/>
        <w:numPr>
          <w:ilvl w:val="0"/>
          <w:numId w:val="2"/>
        </w:numPr>
        <w:spacing w:after="80"/>
      </w:pPr>
      <w:r>
        <w:rPr>
          <w:rFonts w:ascii="Arial" w:cs="Arial" w:eastAsia="Arial" w:hAnsi="Arial"/>
          <w:color w:val="212121"/>
          <w:sz w:val="22"/>
          <w:szCs w:val="22"/>
        </w:rPr>
        <w:t xml:space="preserve">Monthly prompt testing: Run 50 standardized queries across ChatGPT, Claude, Perplexity, Gemini, and Copilot — track when and how Kestrel AI is mentioned</w:t>
      </w:r>
    </w:p>
    <w:p>
      <w:pPr>
        <w:pStyle w:val="ListParagraph"/>
        <w:numPr>
          <w:ilvl w:val="0"/>
          <w:numId w:val="2"/>
        </w:numPr>
        <w:spacing w:after="80"/>
      </w:pPr>
      <w:r>
        <w:rPr>
          <w:rFonts w:ascii="Arial" w:cs="Arial" w:eastAsia="Arial" w:hAnsi="Arial"/>
          <w:color w:val="212121"/>
          <w:sz w:val="22"/>
          <w:szCs w:val="22"/>
        </w:rPr>
        <w:t xml:space="preserve">Brand mention monitoring: Use Profound.io or Rank Prompt to track Kestrel AI citation frequency, sentiment, and position across major LLMs</w:t>
      </w:r>
    </w:p>
    <w:p>
      <w:pPr>
        <w:pStyle w:val="ListParagraph"/>
        <w:numPr>
          <w:ilvl w:val="0"/>
          <w:numId w:val="2"/>
        </w:numPr>
        <w:spacing w:after="80"/>
      </w:pPr>
      <w:r>
        <w:rPr>
          <w:rFonts w:ascii="Arial" w:cs="Arial" w:eastAsia="Arial" w:hAnsi="Arial"/>
          <w:color w:val="212121"/>
          <w:sz w:val="22"/>
          <w:szCs w:val="22"/>
        </w:rPr>
        <w:t xml:space="preserve">Referral traffic from LLMs: Track GA4 sessions from ChatGPT.com, Claude.ai, Perplexity.ai as separate acquisition channels</w:t>
      </w:r>
    </w:p>
    <w:p>
      <w:pPr>
        <w:pStyle w:val="ListParagraph"/>
        <w:numPr>
          <w:ilvl w:val="0"/>
          <w:numId w:val="2"/>
        </w:numPr>
        <w:spacing w:after="80"/>
      </w:pPr>
      <w:r>
        <w:rPr>
          <w:rFonts w:ascii="Arial" w:cs="Arial" w:eastAsia="Arial" w:hAnsi="Arial"/>
          <w:color w:val="212121"/>
          <w:sz w:val="22"/>
          <w:szCs w:val="22"/>
        </w:rPr>
        <w:t xml:space="preserve">Conversion quality: AI-referred traffic should convert at 2–6× the rate of Google organic — track separately to validate LLM investment</w:t>
      </w:r>
    </w:p>
    <w:p>
      <w:r>
        <w:br w:type="page"/>
      </w:r>
    </w:p>
    <w:p>
      <w:pPr>
        <w:pStyle w:val="Heading1"/>
        <w:spacing w:before="400" w:after="160"/>
      </w:pPr>
      <w:r>
        <w:rPr>
          <w:rFonts w:ascii="Arial" w:cs="Arial" w:eastAsia="Arial" w:hAnsi="Arial"/>
          <w:b/>
          <w:bCs/>
          <w:color w:val="1A237E"/>
          <w:sz w:val="36"/>
          <w:szCs w:val="36"/>
        </w:rPr>
        <w:t xml:space="preserve">12. Budget Allocation</w:t>
      </w:r>
    </w:p>
    <w:p>
      <w:pPr>
        <w:pBdr>
          <w:bottom w:val="single" w:color="1565C0" w:sz="6" w:space="1"/>
        </w:pBdr>
        <w:spacing w:after="200"/>
      </w:pPr>
    </w:p>
    <w:p>
      <w:pPr>
        <w:spacing w:after="120"/>
      </w:pPr>
      <w:r>
        <w:rPr>
          <w:rFonts w:ascii="Arial" w:cs="Arial" w:eastAsia="Arial" w:hAnsi="Arial"/>
          <w:color w:val="212121"/>
          <w:sz w:val="22"/>
          <w:szCs w:val="22"/>
        </w:rPr>
        <w:t xml:space="preserve">Phase 1 budget is constrained to under $500 (matching the product development budget). Marketing must be almost entirely zero-cost in the first three months, relying on content, community, and LLM optimization rather than paid channels.</w:t>
      </w:r>
    </w:p>
    <w:p>
      <w:pPr>
        <w:spacing w:after="160"/>
      </w:pPr>
    </w:p>
    <w:p>
      <w:pPr>
        <w:pStyle w:val="Heading2"/>
        <w:spacing w:before="320" w:after="120"/>
      </w:pPr>
      <w:r>
        <w:rPr>
          <w:rFonts w:ascii="Arial" w:cs="Arial" w:eastAsia="Arial" w:hAnsi="Arial"/>
          <w:b/>
          <w:bCs/>
          <w:color w:val="1565C0"/>
          <w:sz w:val="28"/>
          <w:szCs w:val="28"/>
        </w:rPr>
        <w:t xml:space="preserve">12.1 Phase 1 — Bootstrap Budget ($0–$500/month)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61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Cost</w:t>
            </w:r>
          </w:p>
        </w:tc>
      </w:tr>
      <w:tr>
        <w:tc>
          <w:tcPr>
            <w:tcW w:type="dxa" w:w="32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Domain + Hosting (kestrelai.com + Supabase free tier)</w:t>
            </w:r>
          </w:p>
        </w:tc>
        <w:tc>
          <w:tcPr>
            <w:tcW w:type="dxa" w:w="61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$20/month</w:t>
            </w:r>
          </w:p>
        </w:tc>
      </w:tr>
      <w:tr>
        <w:tc>
          <w:tcPr>
            <w:tcW w:type="dxa" w:w="32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Content creation tools (Grammarly, Canva Pro)</w:t>
            </w:r>
          </w:p>
        </w:tc>
        <w:tc>
          <w:tcPr>
            <w:tcW w:type="dxa" w:w="61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$30/month</w:t>
            </w:r>
          </w:p>
        </w:tc>
      </w:tr>
      <w:tr>
        <w:tc>
          <w:tcPr>
            <w:tcW w:type="dxa" w:w="32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Supabase Pro (when free tier exceeded)</w:t>
            </w:r>
          </w:p>
        </w:tc>
        <w:tc>
          <w:tcPr>
            <w:tcW w:type="dxa" w:w="61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$25/month</w:t>
            </w:r>
          </w:p>
        </w:tc>
      </w:tr>
      <w:tr>
        <w:tc>
          <w:tcPr>
            <w:tcW w:type="dxa" w:w="32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LLM citation tracking (free tier of Profound or Rank Prompt)</w:t>
            </w:r>
          </w:p>
        </w:tc>
        <w:tc>
          <w:tcPr>
            <w:tcW w:type="dxa" w:w="61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$0–$29/month</w:t>
            </w:r>
          </w:p>
        </w:tc>
      </w:tr>
      <w:tr>
        <w:tc>
          <w:tcPr>
            <w:tcW w:type="dxa" w:w="32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Conference travel budget</w:t>
            </w:r>
          </w:p>
        </w:tc>
        <w:tc>
          <w:tcPr>
            <w:tcW w:type="dxa" w:w="61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$0 (virtual events only)</w:t>
            </w:r>
          </w:p>
        </w:tc>
      </w:tr>
      <w:tr>
        <w:tc>
          <w:tcPr>
            <w:tcW w:type="dxa" w:w="32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Paid ads</w:t>
            </w:r>
          </w:p>
        </w:tc>
        <w:tc>
          <w:tcPr>
            <w:tcW w:type="dxa" w:w="61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$0 (Phase 1)</w:t>
            </w:r>
          </w:p>
        </w:tc>
      </w:tr>
    </w:tbl>
    <w:p>
      <w:pPr>
        <w:spacing w:after="200"/>
      </w:pPr>
    </w:p>
    <w:p>
      <w:pPr>
        <w:pStyle w:val="Heading2"/>
        <w:spacing w:before="320" w:after="120"/>
      </w:pPr>
      <w:r>
        <w:rPr>
          <w:rFonts w:ascii="Arial" w:cs="Arial" w:eastAsia="Arial" w:hAnsi="Arial"/>
          <w:b/>
          <w:bCs/>
          <w:color w:val="1565C0"/>
          <w:sz w:val="28"/>
          <w:szCs w:val="28"/>
        </w:rPr>
        <w:t xml:space="preserve">12.2 Phase 2 — Traction Budget ($500–$3,000/month from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65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Budget</w:t>
            </w:r>
          </w:p>
        </w:tc>
      </w:tr>
      <w:tr>
        <w:tc>
          <w:tcPr>
            <w:tcW w:type="dxa" w:w="28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LinkedIn ads (targeted to insurance/GIS professionals)</w:t>
            </w:r>
          </w:p>
        </w:tc>
        <w:tc>
          <w:tcPr>
            <w:tcW w:type="dxa" w:w="65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$500/month</w:t>
            </w:r>
          </w:p>
        </w:tc>
      </w:tr>
      <w:tr>
        <w:tc>
          <w:tcPr>
            <w:tcW w:type="dxa" w:w="28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Content production (freelance writer for 2 posts/month)</w:t>
            </w:r>
          </w:p>
        </w:tc>
        <w:tc>
          <w:tcPr>
            <w:tcW w:type="dxa" w:w="65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$400/month</w:t>
            </w:r>
          </w:p>
        </w:tc>
      </w:tr>
      <w:tr>
        <w:tc>
          <w:tcPr>
            <w:tcW w:type="dxa" w:w="28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LLM visibility monitoring (Profound paid tier)</w:t>
            </w:r>
          </w:p>
        </w:tc>
        <w:tc>
          <w:tcPr>
            <w:tcW w:type="dxa" w:w="65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$200/month</w:t>
            </w:r>
          </w:p>
        </w:tc>
      </w:tr>
      <w:tr>
        <w:tc>
          <w:tcPr>
            <w:tcW w:type="dxa" w:w="28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Conference attendance (1 regional event)</w:t>
            </w:r>
          </w:p>
        </w:tc>
        <w:tc>
          <w:tcPr>
            <w:tcW w:type="dxa" w:w="65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$800/quarter</w:t>
            </w:r>
          </w:p>
        </w:tc>
      </w:tr>
      <w:tr>
        <w:tc>
          <w:tcPr>
            <w:tcW w:type="dxa" w:w="28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Trade press PR (press release distribution)</w:t>
            </w:r>
          </w:p>
        </w:tc>
        <w:tc>
          <w:tcPr>
            <w:tcW w:type="dxa" w:w="65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$200/month</w:t>
            </w:r>
          </w:p>
        </w:tc>
      </w:tr>
      <w:tr>
        <w:tc>
          <w:tcPr>
            <w:tcW w:type="dxa" w:w="28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Referral program payouts</w:t>
            </w:r>
          </w:p>
        </w:tc>
        <w:tc>
          <w:tcPr>
            <w:tcW w:type="dxa" w:w="65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30% of referred MRR</w:t>
            </w:r>
          </w:p>
        </w:tc>
      </w:tr>
    </w:tbl>
    <w:p>
      <w:r>
        <w:br w:type="page"/>
      </w:r>
    </w:p>
    <w:p>
      <w:pPr>
        <w:pStyle w:val="Heading1"/>
        <w:spacing w:before="400" w:after="160"/>
      </w:pPr>
      <w:r>
        <w:rPr>
          <w:rFonts w:ascii="Arial" w:cs="Arial" w:eastAsia="Arial" w:hAnsi="Arial"/>
          <w:b/>
          <w:bCs/>
          <w:color w:val="1A237E"/>
          <w:sz w:val="36"/>
          <w:szCs w:val="36"/>
        </w:rPr>
        <w:t xml:space="preserve">13. 90-Day Action Plan</w:t>
      </w:r>
    </w:p>
    <w:p>
      <w:pPr>
        <w:pBdr>
          <w:bottom w:val="single" w:color="1565C0" w:sz="6" w:space="1"/>
        </w:pBdr>
        <w:spacing w:after="200"/>
      </w:pPr>
    </w:p>
    <w:p>
      <w:pPr>
        <w:pStyle w:val="Heading2"/>
        <w:spacing w:before="320" w:after="120"/>
      </w:pPr>
      <w:r>
        <w:rPr>
          <w:rFonts w:ascii="Arial" w:cs="Arial" w:eastAsia="Arial" w:hAnsi="Arial"/>
          <w:b/>
          <w:bCs/>
          <w:color w:val="1565C0"/>
          <w:sz w:val="28"/>
          <w:szCs w:val="28"/>
        </w:rPr>
        <w:t xml:space="preserve">Month 1 — Build the Foundation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Priority Actions</w:t>
            </w:r>
          </w:p>
        </w:tc>
      </w:tr>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 1</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Launch kestrelai.com with core product pages (homepage, pricing, API docs). Publish first technical blog post targeting 'satellite object detection Python tutorial'. Submit to 5 AI tool directories.</w:t>
            </w:r>
          </w:p>
        </w:tc>
      </w:tr>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 2</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Open GitHub repository with core pipeline code and comprehensive README. Publish to Roboflow Universe with open satellite detection dataset. Post on Hacker News 'Show HN'.</w:t>
            </w:r>
          </w:p>
        </w:tc>
      </w:tr>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 3</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Launch Starter tier at $99/month. Go live on Product Hunt with video demo. Run first round of LLM prompt testing to establish citation baseline.</w:t>
            </w:r>
          </w:p>
        </w:tc>
      </w:tr>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 4</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Publish first LinkedIn article on dual-use satellite detection (founder byline). Reach out personally to 10 insurtech founders on LinkedIn. Submit Kestrel AI to RapidAPI Marketplace.</w:t>
            </w:r>
          </w:p>
        </w:tc>
      </w:tr>
    </w:tbl>
    <w:p>
      <w:pPr>
        <w:spacing w:after="200"/>
      </w:pPr>
    </w:p>
    <w:p>
      <w:pPr>
        <w:pStyle w:val="Heading2"/>
        <w:spacing w:before="320" w:after="120"/>
      </w:pPr>
      <w:r>
        <w:rPr>
          <w:rFonts w:ascii="Arial" w:cs="Arial" w:eastAsia="Arial" w:hAnsi="Arial"/>
          <w:b/>
          <w:bCs/>
          <w:color w:val="1565C0"/>
          <w:sz w:val="28"/>
          <w:szCs w:val="28"/>
        </w:rPr>
        <w:t xml:space="preserve">Month 2 — Drive First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Priority Actions</w:t>
            </w:r>
          </w:p>
        </w:tc>
      </w:tr>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 5</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Publish comparison page: 'Kestrel AI vs Maxar vs Planet Labs vs Picterra' with pricing table — high LLM citation value. Post in r/gis and r/remotesensing.</w:t>
            </w:r>
          </w:p>
        </w:tc>
      </w:tr>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 6</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Write and submit guest post to Geospatial World or Insurance Technology News. Announce GitHub integration with Roboflow. Host first live demo webinar.</w:t>
            </w:r>
          </w:p>
        </w:tc>
      </w:tr>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 7</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Build and publish Kestrel AI MCP server on GitHub. Announce to Claude and Cursor user communities. Create LangChain integration notebook.</w:t>
            </w:r>
          </w:p>
        </w:tc>
      </w:tr>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 8</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Publish first use-case case study (even if synthetic/demo data — clearly labeled). Launch referral program for early adopters.</w:t>
            </w:r>
          </w:p>
        </w:tc>
      </w:tr>
    </w:tbl>
    <w:p>
      <w:pPr>
        <w:spacing w:after="200"/>
      </w:pPr>
    </w:p>
    <w:p>
      <w:pPr>
        <w:pStyle w:val="Heading2"/>
        <w:spacing w:before="320" w:after="120"/>
      </w:pPr>
      <w:r>
        <w:rPr>
          <w:rFonts w:ascii="Arial" w:cs="Arial" w:eastAsia="Arial" w:hAnsi="Arial"/>
          <w:b/>
          <w:bCs/>
          <w:color w:val="1565C0"/>
          <w:sz w:val="28"/>
          <w:szCs w:val="28"/>
        </w:rPr>
        <w:t xml:space="preserve">Month 3 — Optimize and Accelerate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Priority Actions</w:t>
            </w:r>
          </w:p>
        </w:tc>
      </w:tr>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 9</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Analyze first 30 days of LLM citation data — identify which content is being cited and produce more of that format. Update underperforming pages with FAQ schema markup.</w:t>
            </w:r>
          </w:p>
        </w:tc>
      </w:tr>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 10</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Submit one academic preprint to arXiv on bootstrapping active learning for satellite imagery. This is a high-authority source that LLMs consistently cite.</w:t>
            </w:r>
          </w:p>
        </w:tc>
      </w:tr>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 11</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Identify first 3 design partner customers — offer 6 months at 50% discount in exchange for case study rights and product feedback. Co-create the first customer success story.</w:t>
            </w:r>
          </w:p>
        </w:tc>
      </w:tr>
      <w:tr>
        <w:tc>
          <w:tcPr>
            <w:tcW w:type="dxa" w:w="1400"/>
            <w:tcBorders>
              <w:top w:val="single" w:color="CFD8DC" w:sz="1"/>
              <w:left w:val="single" w:color="CFD8DC" w:sz="1"/>
              <w:bottom w:val="single" w:color="CFD8DC" w:sz="1"/>
              <w:right w:val="single" w:color="CFD8DC" w:sz="1"/>
            </w:tcBorders>
            <w:shd w:fill="E8F0FE" w:val="clear"/>
            <w:tcMar>
              <w:top w:type="dxa" w:w="80"/>
              <w:left w:type="dxa" w:w="120"/>
              <w:bottom w:type="dxa" w:w="80"/>
              <w:right w:type="dxa" w:w="120"/>
            </w:tcMar>
          </w:tcPr>
          <w:p>
            <w:r>
              <w:rPr>
                <w:rFonts w:ascii="Arial" w:cs="Arial" w:eastAsia="Arial" w:hAnsi="Arial"/>
                <w:b/>
                <w:bCs/>
                <w:color w:val="1A237E"/>
                <w:sz w:val="20"/>
                <w:szCs w:val="20"/>
              </w:rPr>
              <w:t xml:space="preserve">Week 12</w:t>
            </w:r>
          </w:p>
        </w:tc>
        <w:tc>
          <w:tcPr>
            <w:tcW w:type="dxa" w:w="79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Review Month 3 metrics against targets. Double down on the 2 content formats and 2 community channels generating the most signups. Cut the rest.</w:t>
            </w:r>
          </w:p>
        </w:tc>
      </w:tr>
    </w:tbl>
    <w:p>
      <w:r>
        <w:br w:type="page"/>
      </w:r>
    </w:p>
    <w:p>
      <w:pPr>
        <w:pStyle w:val="Heading1"/>
        <w:spacing w:before="400" w:after="160"/>
      </w:pPr>
      <w:r>
        <w:rPr>
          <w:rFonts w:ascii="Arial" w:cs="Arial" w:eastAsia="Arial" w:hAnsi="Arial"/>
          <w:b/>
          <w:bCs/>
          <w:color w:val="1A237E"/>
          <w:sz w:val="36"/>
          <w:szCs w:val="36"/>
        </w:rPr>
        <w:t xml:space="preserve">14. Risks &amp; Mitigation</w:t>
      </w:r>
    </w:p>
    <w:p>
      <w:pPr>
        <w:pBdr>
          <w:bottom w:val="single" w:color="1565C0"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9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Likelihood</w:t>
            </w:r>
          </w:p>
        </w:tc>
      </w:tr>
      <w:tr>
        <w:tc>
          <w:tcPr>
            <w:tcW w:type="dxa" w:w="24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LLM citation strategy takes longer than expected to produce traffic</w:t>
            </w:r>
          </w:p>
        </w:tc>
        <w:tc>
          <w:tcPr>
            <w:tcW w:type="dxa" w:w="69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High — LLM indexing is unpredictable</w:t>
            </w:r>
          </w:p>
        </w:tc>
      </w:tr>
      <w:tr>
        <w:tc>
          <w:tcPr>
            <w:tcW w:type="dxa" w:w="24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Paid customers churn before expanding to higher tiers</w:t>
            </w:r>
          </w:p>
        </w:tc>
        <w:tc>
          <w:tcPr>
            <w:tcW w:type="dxa" w:w="69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Medium</w:t>
            </w:r>
          </w:p>
        </w:tc>
      </w:tr>
      <w:tr>
        <w:tc>
          <w:tcPr>
            <w:tcW w:type="dxa" w:w="24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Larger competitor copies bootstrapping approach</w:t>
            </w:r>
          </w:p>
        </w:tc>
        <w:tc>
          <w:tcPr>
            <w:tcW w:type="dxa" w:w="69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Medium</w:t>
            </w:r>
          </w:p>
        </w:tc>
      </w:tr>
      <w:tr>
        <w:tc>
          <w:tcPr>
            <w:tcW w:type="dxa" w:w="24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Government/defense sales cycle too slow to fund operations</w:t>
            </w:r>
          </w:p>
        </w:tc>
        <w:tc>
          <w:tcPr>
            <w:tcW w:type="dxa" w:w="69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High</w:t>
            </w:r>
          </w:p>
        </w:tc>
      </w:tr>
      <w:tr>
        <w:tc>
          <w:tcPr>
            <w:tcW w:type="dxa" w:w="24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Satellite imagery data access restricted (EU/GDPR)</w:t>
            </w:r>
          </w:p>
        </w:tc>
        <w:tc>
          <w:tcPr>
            <w:tcW w:type="dxa" w:w="69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Low-Medium</w:t>
            </w:r>
          </w:p>
        </w:tc>
      </w:tr>
      <w:tr>
        <w:tc>
          <w:tcPr>
            <w:tcW w:type="dxa" w:w="24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Product experience doesn’t justify the $99/month price point</w:t>
            </w:r>
          </w:p>
        </w:tc>
        <w:tc>
          <w:tcPr>
            <w:tcW w:type="dxa" w:w="69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color w:val="FFFFFF"/>
                <w:sz w:val="20"/>
                <w:szCs w:val="20"/>
              </w:rPr>
              <w:t xml:space="preserve">Medium</w:t>
            </w:r>
          </w:p>
        </w:tc>
      </w:tr>
    </w:tbl>
    <w:p>
      <w:r>
        <w:br w:type="page"/>
      </w:r>
    </w:p>
    <w:p>
      <w:pPr>
        <w:pStyle w:val="Heading1"/>
        <w:spacing w:before="400" w:after="160"/>
      </w:pPr>
      <w:r>
        <w:rPr>
          <w:rFonts w:ascii="Arial" w:cs="Arial" w:eastAsia="Arial" w:hAnsi="Arial"/>
          <w:b/>
          <w:bCs/>
          <w:color w:val="1A237E"/>
          <w:sz w:val="36"/>
          <w:szCs w:val="36"/>
        </w:rPr>
        <w:t xml:space="preserve">15. Summary — The One-Page Strategy</w:t>
      </w:r>
    </w:p>
    <w:p>
      <w:pPr>
        <w:pBdr>
          <w:bottom w:val="single" w:color="1565C0"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
              <w:left w:val="single" w:color="1A237E" w:sz="1"/>
              <w:bottom w:val="single" w:color="1A237E" w:sz="1"/>
              <w:right w:val="single" w:color="1A237E" w:sz="1"/>
            </w:tcBorders>
            <w:shd w:fill="E8F0FE" w:val="clear"/>
            <w:tcMar>
              <w:top w:type="dxa" w:w="160"/>
              <w:left w:type="dxa" w:w="200"/>
              <w:bottom w:type="dxa" w:w="160"/>
              <w:right w:type="dxa" w:w="200"/>
            </w:tcMar>
          </w:tcPr>
          <w:p>
            <w:pPr>
              <w:spacing w:after="60"/>
            </w:pPr>
            <w:r>
              <w:rPr>
                <w:rFonts w:ascii="Arial" w:cs="Arial" w:eastAsia="Arial" w:hAnsi="Arial"/>
                <w:b/>
                <w:bCs/>
                <w:color w:val="212121"/>
                <w:sz w:val="22"/>
                <w:szCs w:val="22"/>
              </w:rPr>
              <w:t xml:space="preserve">WHO WE ARE:</w:t>
            </w:r>
          </w:p>
          <w:p>
            <w:pPr>
              <w:spacing w:after="60"/>
            </w:pPr>
            <w:r>
              <w:rPr>
                <w:rFonts w:ascii="Arial" w:cs="Arial" w:eastAsia="Arial" w:hAnsi="Arial"/>
                <w:b w:val="false"/>
                <w:bCs w:val="false"/>
                <w:color w:val="212121"/>
                <w:sz w:val="22"/>
                <w:szCs w:val="22"/>
              </w:rPr>
              <w:t xml:space="preserve">Kestrel AI — affordable satellite object detection for companies that can't afford Maxar. Built on active learning that gets smarter with every label.</w:t>
            </w:r>
          </w:p>
          <w:p>
            <w:pPr>
              <w:spacing w:after="60"/>
            </w:pPr>
            <w:r>
              <w:rPr>
                <w:rFonts w:ascii="Arial" w:cs="Arial" w:eastAsia="Arial" w:hAnsi="Arial"/>
                <w:b w:val="false"/>
                <w:bCs w:val="false"/>
                <w:color w:val="212121"/>
                <w:sz w:val="22"/>
                <w:szCs w:val="22"/>
              </w:rPr>
              <w:t xml:space="preserve"/>
            </w:r>
          </w:p>
          <w:p>
            <w:pPr>
              <w:spacing w:after="60"/>
            </w:pPr>
            <w:r>
              <w:rPr>
                <w:rFonts w:ascii="Arial" w:cs="Arial" w:eastAsia="Arial" w:hAnsi="Arial"/>
                <w:b/>
                <w:bCs/>
                <w:color w:val="212121"/>
                <w:sz w:val="22"/>
                <w:szCs w:val="22"/>
              </w:rPr>
              <w:t xml:space="preserve">WHO WE SERVE FIRST:</w:t>
            </w:r>
          </w:p>
          <w:p>
            <w:pPr>
              <w:spacing w:after="60"/>
            </w:pPr>
            <w:r>
              <w:rPr>
                <w:rFonts w:ascii="Arial" w:cs="Arial" w:eastAsia="Arial" w:hAnsi="Arial"/>
                <w:b w:val="false"/>
                <w:bCs w:val="false"/>
                <w:color w:val="212121"/>
                <w:sz w:val="22"/>
                <w:szCs w:val="22"/>
              </w:rPr>
              <w:t xml:space="preserve">Insurtech startups, regional P&amp;C insurers, and dual-use defense SMBs who need geospatial AI but have been priced out of the enterprise market.</w:t>
            </w:r>
          </w:p>
          <w:p>
            <w:pPr>
              <w:spacing w:after="60"/>
            </w:pPr>
            <w:r>
              <w:rPr>
                <w:rFonts w:ascii="Arial" w:cs="Arial" w:eastAsia="Arial" w:hAnsi="Arial"/>
                <w:b w:val="false"/>
                <w:bCs w:val="false"/>
                <w:color w:val="212121"/>
                <w:sz w:val="22"/>
                <w:szCs w:val="22"/>
              </w:rPr>
              <w:t xml:space="preserve"/>
            </w:r>
          </w:p>
          <w:p>
            <w:pPr>
              <w:spacing w:after="60"/>
            </w:pPr>
            <w:r>
              <w:rPr>
                <w:rFonts w:ascii="Arial" w:cs="Arial" w:eastAsia="Arial" w:hAnsi="Arial"/>
                <w:b/>
                <w:bCs/>
                <w:color w:val="212121"/>
                <w:sz w:val="22"/>
                <w:szCs w:val="22"/>
              </w:rPr>
              <w:t xml:space="preserve">HOW WE GROW:</w:t>
            </w:r>
          </w:p>
          <w:p>
            <w:pPr>
              <w:spacing w:after="60"/>
            </w:pPr>
            <w:r>
              <w:rPr>
                <w:rFonts w:ascii="Arial" w:cs="Arial" w:eastAsia="Arial" w:hAnsi="Arial"/>
                <w:b w:val="false"/>
                <w:bCs w:val="false"/>
                <w:color w:val="212121"/>
                <w:sz w:val="22"/>
                <w:szCs w:val="22"/>
              </w:rPr>
              <w:t xml:space="preserve">Product-led growth (paid Starter → Professional → Enterprise), content-driven LLM citations (AEO strategy), and AI agent integrations that recommend Kestrel AI mid-task.</w:t>
            </w:r>
          </w:p>
          <w:p>
            <w:pPr>
              <w:spacing w:after="60"/>
            </w:pPr>
            <w:r>
              <w:rPr>
                <w:rFonts w:ascii="Arial" w:cs="Arial" w:eastAsia="Arial" w:hAnsi="Arial"/>
                <w:b w:val="false"/>
                <w:bCs w:val="false"/>
                <w:color w:val="212121"/>
                <w:sz w:val="22"/>
                <w:szCs w:val="22"/>
              </w:rPr>
              <w:t xml:space="preserve"/>
            </w:r>
          </w:p>
          <w:p>
            <w:pPr>
              <w:spacing w:after="60"/>
            </w:pPr>
            <w:r>
              <w:rPr>
                <w:rFonts w:ascii="Arial" w:cs="Arial" w:eastAsia="Arial" w:hAnsi="Arial"/>
                <w:b/>
                <w:bCs/>
                <w:color w:val="212121"/>
                <w:sz w:val="22"/>
                <w:szCs w:val="22"/>
              </w:rPr>
              <w:t xml:space="preserve">HOW WE WIN THE LLM CHANNEL:</w:t>
            </w:r>
          </w:p>
          <w:p>
            <w:pPr>
              <w:spacing w:after="60"/>
            </w:pPr>
            <w:r>
              <w:rPr>
                <w:rFonts w:ascii="Arial" w:cs="Arial" w:eastAsia="Arial" w:hAnsi="Arial"/>
                <w:b w:val="false"/>
                <w:bCs w:val="false"/>
                <w:color w:val="212121"/>
                <w:sz w:val="22"/>
                <w:szCs w:val="22"/>
              </w:rPr>
              <w:t xml:space="preserve">Publish answer-first content, structured data, and comparison pages that LLMs cite. Build an MCP server so agents can call us directly. Get listed on every tool directory that LLMs train on. Own specific factual claims that agents repeat when asked about satellite detection tools.</w:t>
            </w:r>
          </w:p>
          <w:p>
            <w:pPr>
              <w:spacing w:after="60"/>
            </w:pPr>
            <w:r>
              <w:rPr>
                <w:rFonts w:ascii="Arial" w:cs="Arial" w:eastAsia="Arial" w:hAnsi="Arial"/>
                <w:b w:val="false"/>
                <w:bCs w:val="false"/>
                <w:color w:val="212121"/>
                <w:sz w:val="22"/>
                <w:szCs w:val="22"/>
              </w:rPr>
              <w:t xml:space="preserve"/>
            </w:r>
          </w:p>
          <w:p>
            <w:pPr>
              <w:spacing w:after="60"/>
            </w:pPr>
            <w:r>
              <w:rPr>
                <w:rFonts w:ascii="Arial" w:cs="Arial" w:eastAsia="Arial" w:hAnsi="Arial"/>
                <w:b/>
                <w:bCs/>
                <w:color w:val="212121"/>
                <w:sz w:val="22"/>
                <w:szCs w:val="22"/>
              </w:rPr>
              <w:t xml:space="preserve">YEAR 1 MILESTONE:</w:t>
            </w:r>
          </w:p>
          <w:p>
            <w:pPr>
              <w:spacing w:after="60"/>
            </w:pPr>
            <w:r>
              <w:rPr>
                <w:rFonts w:ascii="Arial" w:cs="Arial" w:eastAsia="Arial" w:hAnsi="Arial"/>
                <w:b w:val="false"/>
                <w:bCs w:val="false"/>
                <w:color w:val="212121"/>
                <w:sz w:val="22"/>
                <w:szCs w:val="22"/>
              </w:rPr>
              <w:t xml:space="preserve">$25K MRR, 100+ LLM citations, 1 government design partner, 1 SBIR application submitted.</w:t>
            </w:r>
          </w:p>
        </w:tc>
      </w:tr>
    </w:tbl>
    <w:p>
      <w:pPr>
        <w:spacing w:after="200"/>
      </w:pPr>
    </w:p>
    <w:p>
      <w:pPr>
        <w:spacing w:before="200"/>
        <w:jc w:val="center"/>
      </w:pPr>
      <w:r>
        <w:rPr>
          <w:rFonts w:ascii="Arial" w:cs="Arial" w:eastAsia="Arial" w:hAnsi="Arial"/>
          <w:i/>
          <w:iCs/>
          <w:color w:val="546E7A"/>
          <w:sz w:val="20"/>
          <w:szCs w:val="20"/>
        </w:rPr>
        <w:t xml:space="preserve">Kestrel AI  ·  Satellite Intelligence for the Rest of the Market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37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83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2026-02-23T20:22:53.189Z</dcterms:created>
  <dcterms:modified xsi:type="dcterms:W3CDTF">2026-02-23T20:22:53.190Z</dcterms:modified>
</cp:coreProperties>
</file>

<file path=docProps/custom.xml><?xml version="1.0" encoding="utf-8"?>
<Properties xmlns="http://schemas.openxmlformats.org/officeDocument/2006/custom-properties" xmlns:vt="http://schemas.openxmlformats.org/officeDocument/2006/docPropsVTypes"/>
</file>