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00D9" w14:textId="77777777" w:rsidR="00D7705D" w:rsidRDefault="00D7705D">
      <w:r>
        <w:t>Results and Discussion</w:t>
      </w:r>
    </w:p>
    <w:p w14:paraId="649583BC" w14:textId="371BD27C" w:rsidR="00A412A0" w:rsidRDefault="00A412A0" w:rsidP="00A412A0">
      <w:r>
        <w:t xml:space="preserve">With a limited subset of our planned dataset, a set of descriptive analyses was completed for the “Bored Ape Yacht Club” NFT collection from June to July 2021. From retrieved Twitter tweets during that period a sentiment analysis was performed following the tutorial from </w:t>
      </w:r>
      <w:proofErr w:type="spellStart"/>
      <w:r>
        <w:t>Geeksforgeeks</w:t>
      </w:r>
      <w:proofErr w:type="spellEnd"/>
      <w:r>
        <w:t xml:space="preserve"> [1]. The results of the sentiment analysis had produced in Figure 1 and Figure 2, both are pie graphs showing the proportion of Twitter tweets that were associated with “Bored Ape Yacht Club” during a specific period, that were classified as Positive, Negative, or Neutral. About half of the tweets were classified as Positive.</w:t>
      </w:r>
      <w:r w:rsidR="00CA2120">
        <w:t xml:space="preserve"> Furthermore, in our future iterations, we are planning more exploratory analyses to see if there is a relationship between tweet sentiment and other factors.</w:t>
      </w:r>
    </w:p>
    <w:p w14:paraId="56EBB14A" w14:textId="77777777" w:rsidR="00A412A0" w:rsidRDefault="00A412A0" w:rsidP="00A412A0">
      <w:r>
        <w:t>In addition to Twitter tweets, market data for the top 21 NFT collections per month was scraped from [3]. This data was analyzed only for the “Bored Ape Yacht Club” Collection for June and July 2021[4]. The data were analyzed and are presented in Table 1.</w:t>
      </w:r>
    </w:p>
    <w:p w14:paraId="56B85DC0" w14:textId="1BAD2EE5" w:rsidR="00C06996" w:rsidRDefault="00A412A0" w:rsidP="00A412A0">
      <w:r>
        <w:t>During that limited period from June 2021 and July 2021, Tweets about Bored Ape Yacht Club decreased by 10.4%</w:t>
      </w:r>
      <w:r w:rsidR="00CA2120">
        <w:t>. Similarly, the total sales per month dropped by 9.2</w:t>
      </w:r>
      <w:r>
        <w:t>%. Thus, showing a possible relationship between the total tweets per month and the total sales per month. The sample size is too small to provide</w:t>
      </w:r>
      <w:r w:rsidR="00CA2120">
        <w:t xml:space="preserve"> any strong </w:t>
      </w:r>
      <w:r>
        <w:t>conclusions, but it shows promise for our future analyses.</w:t>
      </w:r>
      <w:r w:rsidR="00CA2120">
        <w:t xml:space="preserve"> </w:t>
      </w:r>
    </w:p>
    <w:p w14:paraId="25D9EA25" w14:textId="77777777" w:rsidR="00CA2120" w:rsidRDefault="00CA2120" w:rsidP="00A412A0"/>
    <w:p w14:paraId="3EC1A975" w14:textId="4D31C1C3" w:rsidR="00C06996" w:rsidRDefault="00C06996" w:rsidP="00C06996">
      <w:pPr>
        <w:jc w:val="center"/>
      </w:pPr>
      <w:r>
        <w:rPr>
          <w:noProof/>
        </w:rPr>
        <w:drawing>
          <wp:inline distT="0" distB="0" distL="0" distR="0" wp14:anchorId="7AABF102" wp14:editId="5F78C24D">
            <wp:extent cx="3017520" cy="3225857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17" cy="32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2D23" w14:textId="772D8286" w:rsidR="00C06996" w:rsidRPr="00C06996" w:rsidRDefault="00C06996" w:rsidP="00C06996">
      <w:pPr>
        <w:jc w:val="center"/>
        <w:rPr>
          <w:i/>
          <w:iCs/>
        </w:rPr>
      </w:pPr>
      <w:r>
        <w:rPr>
          <w:i/>
          <w:iCs/>
        </w:rPr>
        <w:t xml:space="preserve">Figure 1: </w:t>
      </w:r>
      <w:r w:rsidR="00E61500">
        <w:rPr>
          <w:i/>
          <w:iCs/>
        </w:rPr>
        <w:t xml:space="preserve"> Pie Chart showing the </w:t>
      </w:r>
      <w:r w:rsidR="00914A4F">
        <w:rPr>
          <w:i/>
          <w:iCs/>
        </w:rPr>
        <w:t>sentiment analysis results from</w:t>
      </w:r>
      <w:r w:rsidR="00E61500">
        <w:rPr>
          <w:i/>
          <w:iCs/>
        </w:rPr>
        <w:t xml:space="preserve"> twitter tweets collected for the </w:t>
      </w:r>
      <w:r w:rsidR="00E61500" w:rsidRPr="00565878">
        <w:t>Bored Ape Yacht Club</w:t>
      </w:r>
      <w:r w:rsidR="00E61500">
        <w:t xml:space="preserve"> NFT collection between June 2021 and July 2021, that had a positive, negative, or neutral sentiment. 17%, 52% and 31% of the tweets were deemed </w:t>
      </w:r>
      <w:r w:rsidR="00914A4F">
        <w:t>n</w:t>
      </w:r>
      <w:r w:rsidR="00E61500">
        <w:t xml:space="preserve">egative, </w:t>
      </w:r>
      <w:r w:rsidR="00914A4F">
        <w:t>positive,</w:t>
      </w:r>
      <w:r w:rsidR="00E61500">
        <w:t xml:space="preserve"> and </w:t>
      </w:r>
      <w:r w:rsidR="00914A4F">
        <w:t>n</w:t>
      </w:r>
      <w:r w:rsidR="00E61500">
        <w:t>eutral</w:t>
      </w:r>
      <w:r w:rsidR="00914A4F">
        <w:t>, respectively</w:t>
      </w:r>
      <w:r w:rsidR="00E61500">
        <w:t>.</w:t>
      </w:r>
      <w:r w:rsidR="00914A4F">
        <w:t xml:space="preserve"> </w:t>
      </w:r>
    </w:p>
    <w:p w14:paraId="4D6E590E" w14:textId="1D5B5377" w:rsidR="00C06996" w:rsidRDefault="00C06996" w:rsidP="00782796"/>
    <w:p w14:paraId="539DCCDA" w14:textId="36C2F15E" w:rsidR="00C06996" w:rsidRDefault="00C06996" w:rsidP="00782796"/>
    <w:p w14:paraId="6FB2847A" w14:textId="2E913AA7" w:rsidR="007C056A" w:rsidRDefault="007C056A" w:rsidP="00782796"/>
    <w:p w14:paraId="1483D5BD" w14:textId="20AB6890" w:rsidR="007C056A" w:rsidRDefault="007C056A" w:rsidP="00782796"/>
    <w:p w14:paraId="6AD718ED" w14:textId="58E43A47" w:rsidR="007C056A" w:rsidRDefault="007C056A" w:rsidP="00782796"/>
    <w:p w14:paraId="469C8B23" w14:textId="7E929348" w:rsidR="007C056A" w:rsidRDefault="007C056A" w:rsidP="00782796"/>
    <w:p w14:paraId="58291BA1" w14:textId="3C15CDAC" w:rsidR="007C056A" w:rsidRDefault="007C056A" w:rsidP="00782796"/>
    <w:p w14:paraId="2B8025B0" w14:textId="6E32A17C" w:rsidR="007C056A" w:rsidRDefault="007C056A" w:rsidP="00782796"/>
    <w:p w14:paraId="2769F601" w14:textId="6BA24AF9" w:rsidR="007C056A" w:rsidRDefault="007C056A" w:rsidP="00782796">
      <w:r>
        <w:rPr>
          <w:noProof/>
        </w:rPr>
        <w:drawing>
          <wp:inline distT="0" distB="0" distL="0" distR="0" wp14:anchorId="056C4E31" wp14:editId="30F61577">
            <wp:extent cx="2841324" cy="3037495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7" cy="30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1D27E" wp14:editId="5C029DD2">
            <wp:extent cx="2865120" cy="3062933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38" cy="30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1D01" w14:textId="7F1DE82D" w:rsidR="007C056A" w:rsidRDefault="007C056A" w:rsidP="00782796"/>
    <w:p w14:paraId="3960F205" w14:textId="0AEDF9FC" w:rsidR="007C056A" w:rsidRDefault="007C056A" w:rsidP="00782796">
      <w:r w:rsidRPr="00CA2120">
        <w:rPr>
          <w:i/>
          <w:iCs/>
        </w:rPr>
        <w:t>Figure 2</w:t>
      </w:r>
      <w:r w:rsidR="00CA2120" w:rsidRPr="00CA2120">
        <w:rPr>
          <w:i/>
          <w:iCs/>
        </w:rPr>
        <w:t>:</w:t>
      </w:r>
      <w:r w:rsidR="00CA2120">
        <w:t xml:space="preserve"> </w:t>
      </w:r>
      <w:r>
        <w:t>Sentiment Analysis of tweets for Bored Ape Yacht Club NFT collection for the month of June – 2021 (Left) and July 2021 (Right). Both charts show the proportion of tweets that had been classified as Negative, Positive or Neutral Tweets</w:t>
      </w:r>
      <w:r w:rsidR="00823A2F">
        <w:t xml:space="preserve"> for that given month.</w:t>
      </w:r>
    </w:p>
    <w:p w14:paraId="4D71A7D6" w14:textId="7222FEDB" w:rsidR="00C06996" w:rsidRDefault="00C06996" w:rsidP="00782796"/>
    <w:p w14:paraId="43980195" w14:textId="39818BDE" w:rsidR="00823A2F" w:rsidRDefault="00823A2F" w:rsidP="00782796"/>
    <w:p w14:paraId="39DF9C37" w14:textId="5278B848" w:rsidR="00823A2F" w:rsidRDefault="00823A2F" w:rsidP="00782796"/>
    <w:p w14:paraId="7C4274E0" w14:textId="1C8AA399" w:rsidR="00823A2F" w:rsidRDefault="00823A2F" w:rsidP="00782796"/>
    <w:p w14:paraId="0DB2DF8E" w14:textId="2236FC31" w:rsidR="00823A2F" w:rsidRDefault="00823A2F" w:rsidP="00782796"/>
    <w:p w14:paraId="3275A0B8" w14:textId="65A3802B" w:rsidR="00823A2F" w:rsidRDefault="00823A2F" w:rsidP="00782796"/>
    <w:p w14:paraId="4C78DCD8" w14:textId="53BD2189" w:rsidR="00823A2F" w:rsidRDefault="00823A2F" w:rsidP="00782796"/>
    <w:p w14:paraId="19BC6129" w14:textId="6AE813F2" w:rsidR="00823A2F" w:rsidRDefault="00823A2F" w:rsidP="00782796"/>
    <w:p w14:paraId="645211A4" w14:textId="3B7B9B9E" w:rsidR="00823A2F" w:rsidRDefault="00823A2F" w:rsidP="00782796"/>
    <w:p w14:paraId="100DCA7A" w14:textId="77777777" w:rsidR="00823A2F" w:rsidRDefault="00823A2F" w:rsidP="00782796"/>
    <w:p w14:paraId="2CEED893" w14:textId="0722AF09" w:rsidR="00E61500" w:rsidRDefault="00E61500" w:rsidP="00E61500">
      <w:pPr>
        <w:jc w:val="center"/>
      </w:pPr>
      <w:r>
        <w:t>Table 1</w:t>
      </w:r>
    </w:p>
    <w:p w14:paraId="58A19734" w14:textId="52CFDD8E" w:rsidR="00E61500" w:rsidRDefault="00E61500" w:rsidP="00E61500">
      <w:pPr>
        <w:jc w:val="center"/>
      </w:pPr>
      <w:r>
        <w:t xml:space="preserve">Descriptive data from the analysis of the </w:t>
      </w:r>
      <w:r w:rsidRPr="00565878">
        <w:t>Bored Ape Yacht Club</w:t>
      </w:r>
      <w:r>
        <w:t xml:space="preserve"> NFT collection from June 2021 to July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712"/>
        <w:gridCol w:w="1920"/>
        <w:gridCol w:w="1784"/>
        <w:gridCol w:w="1984"/>
      </w:tblGrid>
      <w:tr w:rsidR="00F76DDB" w14:paraId="07714BE6" w14:textId="7D8C7F93" w:rsidTr="00F76DDB">
        <w:tc>
          <w:tcPr>
            <w:tcW w:w="1950" w:type="dxa"/>
          </w:tcPr>
          <w:p w14:paraId="60F27016" w14:textId="77777777" w:rsidR="00F76DDB" w:rsidRDefault="00F76DDB" w:rsidP="00782796"/>
        </w:tc>
        <w:tc>
          <w:tcPr>
            <w:tcW w:w="1712" w:type="dxa"/>
          </w:tcPr>
          <w:p w14:paraId="4FC2D408" w14:textId="303C6887" w:rsidR="00F76DDB" w:rsidRDefault="00F76DDB" w:rsidP="00782796">
            <w:r>
              <w:t>June 2021</w:t>
            </w:r>
          </w:p>
        </w:tc>
        <w:tc>
          <w:tcPr>
            <w:tcW w:w="1920" w:type="dxa"/>
          </w:tcPr>
          <w:p w14:paraId="004D2129" w14:textId="27C36845" w:rsidR="00F76DDB" w:rsidRDefault="00F76DDB" w:rsidP="00782796">
            <w:r>
              <w:t>July 2021</w:t>
            </w:r>
          </w:p>
        </w:tc>
        <w:tc>
          <w:tcPr>
            <w:tcW w:w="1784" w:type="dxa"/>
          </w:tcPr>
          <w:p w14:paraId="29FDC4BD" w14:textId="1B1530EC" w:rsidR="00F76DDB" w:rsidRDefault="00F76DDB" w:rsidP="00782796">
            <w:r>
              <w:t>Total</w:t>
            </w:r>
          </w:p>
        </w:tc>
        <w:tc>
          <w:tcPr>
            <w:tcW w:w="1984" w:type="dxa"/>
          </w:tcPr>
          <w:p w14:paraId="12071F12" w14:textId="4E9CCFBE" w:rsidR="00F76DDB" w:rsidRDefault="00F76DDB" w:rsidP="00782796">
            <w:r>
              <w:t>Change June – July 2021</w:t>
            </w:r>
          </w:p>
        </w:tc>
      </w:tr>
      <w:tr w:rsidR="00F76DDB" w14:paraId="03A1FDA7" w14:textId="363FA1F9" w:rsidTr="00F76DDB">
        <w:tc>
          <w:tcPr>
            <w:tcW w:w="1950" w:type="dxa"/>
          </w:tcPr>
          <w:p w14:paraId="5DBA6731" w14:textId="55949BFF" w:rsidR="00F76DDB" w:rsidRDefault="00F76DDB" w:rsidP="00782796">
            <w:r>
              <w:t>Total Unique Buyers</w:t>
            </w:r>
          </w:p>
        </w:tc>
        <w:tc>
          <w:tcPr>
            <w:tcW w:w="1712" w:type="dxa"/>
          </w:tcPr>
          <w:p w14:paraId="2BC867BB" w14:textId="0F1E18BA" w:rsidR="00F76DDB" w:rsidRDefault="00F76DDB" w:rsidP="00782796">
            <w:r w:rsidRPr="002E70B1">
              <w:t>2347</w:t>
            </w:r>
          </w:p>
        </w:tc>
        <w:tc>
          <w:tcPr>
            <w:tcW w:w="1920" w:type="dxa"/>
          </w:tcPr>
          <w:p w14:paraId="405E132F" w14:textId="5D8E921C" w:rsidR="00F76DDB" w:rsidRDefault="00F76DDB" w:rsidP="00782796">
            <w:r w:rsidRPr="002E70B1">
              <w:t>1538</w:t>
            </w:r>
          </w:p>
        </w:tc>
        <w:tc>
          <w:tcPr>
            <w:tcW w:w="1784" w:type="dxa"/>
          </w:tcPr>
          <w:p w14:paraId="5315BA89" w14:textId="2A169BA7" w:rsidR="00F76DDB" w:rsidRDefault="00F76DDB" w:rsidP="00782796">
            <w:r>
              <w:t>7178</w:t>
            </w:r>
          </w:p>
        </w:tc>
        <w:tc>
          <w:tcPr>
            <w:tcW w:w="1984" w:type="dxa"/>
          </w:tcPr>
          <w:p w14:paraId="42359C48" w14:textId="13AC88D1" w:rsidR="00F76DDB" w:rsidRDefault="00F76DDB" w:rsidP="00782796">
            <w:r>
              <w:t>-52.6</w:t>
            </w:r>
            <w:r w:rsidR="007C056A">
              <w:t>%</w:t>
            </w:r>
          </w:p>
        </w:tc>
      </w:tr>
      <w:tr w:rsidR="00F76DDB" w14:paraId="422ED8E5" w14:textId="1DB9534B" w:rsidTr="00F76DDB">
        <w:tc>
          <w:tcPr>
            <w:tcW w:w="1950" w:type="dxa"/>
          </w:tcPr>
          <w:p w14:paraId="788CA803" w14:textId="3040AA7C" w:rsidR="00F76DDB" w:rsidRDefault="00F76DDB" w:rsidP="00574153">
            <w:r>
              <w:t>Total Transactions</w:t>
            </w:r>
          </w:p>
        </w:tc>
        <w:tc>
          <w:tcPr>
            <w:tcW w:w="1712" w:type="dxa"/>
          </w:tcPr>
          <w:p w14:paraId="33067334" w14:textId="6095C377" w:rsidR="00F76DDB" w:rsidRPr="007378AC" w:rsidRDefault="00F76DDB" w:rsidP="00574153">
            <w:r w:rsidRPr="002E70B1">
              <w:t>5897</w:t>
            </w:r>
          </w:p>
        </w:tc>
        <w:tc>
          <w:tcPr>
            <w:tcW w:w="1920" w:type="dxa"/>
          </w:tcPr>
          <w:p w14:paraId="10E07947" w14:textId="5706608C" w:rsidR="00F76DDB" w:rsidRPr="007378AC" w:rsidRDefault="00F76DDB" w:rsidP="00574153">
            <w:r w:rsidRPr="002E70B1">
              <w:t>2929</w:t>
            </w:r>
          </w:p>
        </w:tc>
        <w:tc>
          <w:tcPr>
            <w:tcW w:w="1784" w:type="dxa"/>
          </w:tcPr>
          <w:p w14:paraId="47166BB5" w14:textId="7412D0C8" w:rsidR="00F76DDB" w:rsidRDefault="00F76DDB" w:rsidP="00574153">
            <w:r w:rsidRPr="007378AC">
              <w:t>17228</w:t>
            </w:r>
          </w:p>
        </w:tc>
        <w:tc>
          <w:tcPr>
            <w:tcW w:w="1984" w:type="dxa"/>
          </w:tcPr>
          <w:p w14:paraId="69BD359E" w14:textId="7E5B67DD" w:rsidR="00F76DDB" w:rsidRPr="007378AC" w:rsidRDefault="00F76DDB" w:rsidP="00574153">
            <w:r>
              <w:t>-101</w:t>
            </w:r>
            <w:r w:rsidR="007C056A">
              <w:t>%</w:t>
            </w:r>
          </w:p>
        </w:tc>
      </w:tr>
      <w:tr w:rsidR="00F76DDB" w14:paraId="6CC77761" w14:textId="1ABED248" w:rsidTr="00F76DDB">
        <w:tc>
          <w:tcPr>
            <w:tcW w:w="1950" w:type="dxa"/>
          </w:tcPr>
          <w:p w14:paraId="1A439060" w14:textId="0635E444" w:rsidR="00F76DDB" w:rsidRDefault="00F76DDB" w:rsidP="00574153">
            <w:r>
              <w:t>Total Sales in USD</w:t>
            </w:r>
          </w:p>
        </w:tc>
        <w:tc>
          <w:tcPr>
            <w:tcW w:w="1712" w:type="dxa"/>
          </w:tcPr>
          <w:p w14:paraId="211A6091" w14:textId="093B20AF" w:rsidR="00F76DDB" w:rsidRPr="007378AC" w:rsidRDefault="00F76DDB" w:rsidP="00574153">
            <w:r w:rsidRPr="002E70B1">
              <w:t>$44,053,129.49</w:t>
            </w:r>
          </w:p>
        </w:tc>
        <w:tc>
          <w:tcPr>
            <w:tcW w:w="1920" w:type="dxa"/>
          </w:tcPr>
          <w:p w14:paraId="2A1B4439" w14:textId="27827B16" w:rsidR="00F76DDB" w:rsidRPr="007378AC" w:rsidRDefault="00F76DDB" w:rsidP="00574153">
            <w:r w:rsidRPr="002E70B1">
              <w:t>$40,330,935.38</w:t>
            </w:r>
          </w:p>
        </w:tc>
        <w:tc>
          <w:tcPr>
            <w:tcW w:w="1784" w:type="dxa"/>
          </w:tcPr>
          <w:p w14:paraId="2D067BC8" w14:textId="0E994C92" w:rsidR="00F76DDB" w:rsidRDefault="00F76DDB" w:rsidP="00574153">
            <w:r w:rsidRPr="007378AC">
              <w:t>$101,810,739.25</w:t>
            </w:r>
          </w:p>
        </w:tc>
        <w:tc>
          <w:tcPr>
            <w:tcW w:w="1984" w:type="dxa"/>
          </w:tcPr>
          <w:p w14:paraId="2595CC81" w14:textId="3053150D" w:rsidR="00F76DDB" w:rsidRPr="007378AC" w:rsidRDefault="00F76DDB" w:rsidP="00574153">
            <w:r>
              <w:t>-9.2</w:t>
            </w:r>
            <w:r w:rsidR="007C056A">
              <w:t>%</w:t>
            </w:r>
          </w:p>
        </w:tc>
      </w:tr>
      <w:tr w:rsidR="00F76DDB" w14:paraId="08104340" w14:textId="7ED33B1D" w:rsidTr="00F76DDB">
        <w:tc>
          <w:tcPr>
            <w:tcW w:w="1950" w:type="dxa"/>
          </w:tcPr>
          <w:p w14:paraId="29FE6719" w14:textId="5204AE47" w:rsidR="00F76DDB" w:rsidRDefault="00F76DDB" w:rsidP="00782796">
            <w:r>
              <w:t>Average Sale Price per Transaction</w:t>
            </w:r>
          </w:p>
        </w:tc>
        <w:tc>
          <w:tcPr>
            <w:tcW w:w="1712" w:type="dxa"/>
          </w:tcPr>
          <w:p w14:paraId="2AFC4EA4" w14:textId="0461C911" w:rsidR="00F76DDB" w:rsidRDefault="00F76DDB" w:rsidP="00782796">
            <w:r w:rsidRPr="002E70B1">
              <w:t>$7</w:t>
            </w:r>
            <w:r>
              <w:t>,</w:t>
            </w:r>
            <w:r w:rsidRPr="002E70B1">
              <w:t>470.43</w:t>
            </w:r>
          </w:p>
        </w:tc>
        <w:tc>
          <w:tcPr>
            <w:tcW w:w="1920" w:type="dxa"/>
          </w:tcPr>
          <w:p w14:paraId="08D1E1C3" w14:textId="5B73CBE4" w:rsidR="00F76DDB" w:rsidRDefault="00F76DDB" w:rsidP="00782796">
            <w:r w:rsidRPr="00F76DDB">
              <w:t>$13</w:t>
            </w:r>
            <w:r>
              <w:t>,</w:t>
            </w:r>
            <w:r w:rsidRPr="00F76DDB">
              <w:t>769.52</w:t>
            </w:r>
          </w:p>
        </w:tc>
        <w:tc>
          <w:tcPr>
            <w:tcW w:w="1784" w:type="dxa"/>
          </w:tcPr>
          <w:p w14:paraId="1FC5F337" w14:textId="528F3868" w:rsidR="00F76DDB" w:rsidRDefault="00F76DDB" w:rsidP="00782796">
            <w:r>
              <w:t>$</w:t>
            </w:r>
            <w:r w:rsidRPr="00F76DDB">
              <w:t>21</w:t>
            </w:r>
            <w:r>
              <w:t>,</w:t>
            </w:r>
            <w:r w:rsidRPr="00F76DDB">
              <w:t>720.48</w:t>
            </w:r>
          </w:p>
        </w:tc>
        <w:tc>
          <w:tcPr>
            <w:tcW w:w="1984" w:type="dxa"/>
          </w:tcPr>
          <w:p w14:paraId="088FC7F7" w14:textId="1232577D" w:rsidR="00F76DDB" w:rsidRDefault="00F76DDB" w:rsidP="00782796">
            <w:r>
              <w:t>45.8</w:t>
            </w:r>
            <w:r w:rsidR="007C056A">
              <w:t>%</w:t>
            </w:r>
          </w:p>
        </w:tc>
      </w:tr>
      <w:tr w:rsidR="00F76DDB" w14:paraId="3C674E2A" w14:textId="0EF70F19" w:rsidTr="00F76DDB">
        <w:tc>
          <w:tcPr>
            <w:tcW w:w="1950" w:type="dxa"/>
          </w:tcPr>
          <w:p w14:paraId="50F43F9C" w14:textId="3666CAA7" w:rsidR="00F76DDB" w:rsidRDefault="00F76DDB" w:rsidP="00782796">
            <w:r>
              <w:t>Total Twitter Tweets</w:t>
            </w:r>
          </w:p>
        </w:tc>
        <w:tc>
          <w:tcPr>
            <w:tcW w:w="1712" w:type="dxa"/>
          </w:tcPr>
          <w:p w14:paraId="3BDAE555" w14:textId="564ABEB9" w:rsidR="00F76DDB" w:rsidRDefault="00F76DDB" w:rsidP="00782796">
            <w:r w:rsidRPr="002E70B1">
              <w:t>51041</w:t>
            </w:r>
          </w:p>
        </w:tc>
        <w:tc>
          <w:tcPr>
            <w:tcW w:w="1920" w:type="dxa"/>
          </w:tcPr>
          <w:p w14:paraId="72C94882" w14:textId="4A6CFA1B" w:rsidR="00F76DDB" w:rsidRDefault="00F76DDB" w:rsidP="00782796">
            <w:r w:rsidRPr="00F76DDB">
              <w:t>46216</w:t>
            </w:r>
          </w:p>
        </w:tc>
        <w:tc>
          <w:tcPr>
            <w:tcW w:w="1784" w:type="dxa"/>
          </w:tcPr>
          <w:p w14:paraId="453925AE" w14:textId="76CEB381" w:rsidR="00F76DDB" w:rsidRDefault="00F76DDB" w:rsidP="00782796">
            <w:r>
              <w:t>97257</w:t>
            </w:r>
          </w:p>
        </w:tc>
        <w:tc>
          <w:tcPr>
            <w:tcW w:w="1984" w:type="dxa"/>
          </w:tcPr>
          <w:p w14:paraId="370AE6AF" w14:textId="70DA94FF" w:rsidR="00F76DDB" w:rsidRDefault="007C056A" w:rsidP="00782796">
            <w:r>
              <w:t>-</w:t>
            </w:r>
            <w:r w:rsidR="00F76DDB">
              <w:t>10.4</w:t>
            </w:r>
            <w:r>
              <w:t>%</w:t>
            </w:r>
          </w:p>
        </w:tc>
      </w:tr>
      <w:tr w:rsidR="00F76DDB" w14:paraId="77462ADF" w14:textId="38408EAF" w:rsidTr="00F76DDB">
        <w:tc>
          <w:tcPr>
            <w:tcW w:w="1950" w:type="dxa"/>
          </w:tcPr>
          <w:p w14:paraId="2B30CEDF" w14:textId="7BF245F0" w:rsidR="00F76DDB" w:rsidRDefault="00F76DDB" w:rsidP="00782796">
            <w:r>
              <w:t>Av</w:t>
            </w:r>
            <w:r w:rsidR="00D95A9F">
              <w:t xml:space="preserve">erage </w:t>
            </w:r>
            <w:r>
              <w:t xml:space="preserve"> sale price per tweet </w:t>
            </w:r>
          </w:p>
        </w:tc>
        <w:tc>
          <w:tcPr>
            <w:tcW w:w="1712" w:type="dxa"/>
          </w:tcPr>
          <w:p w14:paraId="3156B5AB" w14:textId="2C2CACAC" w:rsidR="00F76DDB" w:rsidRDefault="00F76DDB" w:rsidP="00782796">
            <w:r w:rsidRPr="00F76DDB">
              <w:t>$8</w:t>
            </w:r>
            <w:r>
              <w:t>63.09</w:t>
            </w:r>
          </w:p>
        </w:tc>
        <w:tc>
          <w:tcPr>
            <w:tcW w:w="1920" w:type="dxa"/>
          </w:tcPr>
          <w:p w14:paraId="36D12D93" w14:textId="174C85CD" w:rsidR="00F76DDB" w:rsidRDefault="00F76DDB" w:rsidP="00782796">
            <w:r w:rsidRPr="00F76DDB">
              <w:t>$872.66</w:t>
            </w:r>
          </w:p>
        </w:tc>
        <w:tc>
          <w:tcPr>
            <w:tcW w:w="1784" w:type="dxa"/>
          </w:tcPr>
          <w:p w14:paraId="0A7CF816" w14:textId="4486F3DA" w:rsidR="00F76DDB" w:rsidRDefault="00F76DDB" w:rsidP="00782796">
            <w:r w:rsidRPr="00F76DDB">
              <w:t>$867.64</w:t>
            </w:r>
          </w:p>
        </w:tc>
        <w:tc>
          <w:tcPr>
            <w:tcW w:w="1984" w:type="dxa"/>
          </w:tcPr>
          <w:p w14:paraId="1FAE9183" w14:textId="4D2C9024" w:rsidR="00F76DDB" w:rsidRPr="00F76DDB" w:rsidRDefault="007C056A" w:rsidP="00782796">
            <w:r>
              <w:t>1.1%</w:t>
            </w:r>
          </w:p>
        </w:tc>
      </w:tr>
    </w:tbl>
    <w:p w14:paraId="4FA802BE" w14:textId="0B736422" w:rsidR="00C06996" w:rsidRDefault="00C06996" w:rsidP="00782796"/>
    <w:p w14:paraId="64D53422" w14:textId="77777777" w:rsidR="00E61500" w:rsidRDefault="00E61500" w:rsidP="00782796"/>
    <w:p w14:paraId="2D223312" w14:textId="140E0F7C" w:rsidR="00C06996" w:rsidRDefault="00C06996" w:rsidP="00782796"/>
    <w:p w14:paraId="7A74C8A2" w14:textId="77777777" w:rsidR="00C06996" w:rsidRDefault="00C06996" w:rsidP="00782796"/>
    <w:p w14:paraId="76334487" w14:textId="1BD17560" w:rsidR="00C06996" w:rsidRDefault="00C06996" w:rsidP="00C06996">
      <w:pPr>
        <w:pStyle w:val="NormalWeb"/>
        <w:ind w:left="567" w:hanging="567"/>
      </w:pPr>
      <w:r>
        <w:t xml:space="preserve">[1]N. Kumar, “Twitter sentiment analysis using Python,” </w:t>
      </w:r>
      <w:proofErr w:type="spellStart"/>
      <w:r>
        <w:rPr>
          <w:i/>
          <w:iCs/>
        </w:rPr>
        <w:t>GeeksforGeeks</w:t>
      </w:r>
      <w:proofErr w:type="spellEnd"/>
      <w:r>
        <w:t xml:space="preserve">, 22-Jul-2021. [Online]. Available: https://www.geeksforgeeks.org/twitter-sentiment-analysis-using-python/. [Accessed: 09-Mar-2022]. </w:t>
      </w:r>
    </w:p>
    <w:p w14:paraId="27D8D685" w14:textId="12277E42" w:rsidR="00C06996" w:rsidRDefault="00C06996" w:rsidP="00C06996">
      <w:pPr>
        <w:pStyle w:val="NormalWeb"/>
        <w:ind w:left="567" w:hanging="567"/>
      </w:pPr>
      <w:r>
        <w:t>[2]K. Fox, “</w:t>
      </w:r>
      <w:proofErr w:type="spellStart"/>
      <w:r>
        <w:t>Twitternfters</w:t>
      </w:r>
      <w:proofErr w:type="spellEnd"/>
      <w:r>
        <w:t>/Sentiment4BoredApeYachtClub.ipynb at main · KFOXISPROGRAMMER/</w:t>
      </w:r>
      <w:proofErr w:type="spellStart"/>
      <w:r>
        <w:t>Twitternfters</w:t>
      </w:r>
      <w:proofErr w:type="spellEnd"/>
      <w:r>
        <w:t xml:space="preserve">,” </w:t>
      </w:r>
      <w:r>
        <w:rPr>
          <w:i/>
          <w:iCs/>
        </w:rPr>
        <w:t>GitHub</w:t>
      </w:r>
      <w:r>
        <w:t xml:space="preserve">, 09-Mar-2022. [Online]. Available: https://github.com/kfoxIsProgrammer/TwitterNfters/blob/main/notebooks/Sentiment4BoredApeYachtClub.ipynb. [Accessed: 09-Mar-2022]. </w:t>
      </w:r>
    </w:p>
    <w:p w14:paraId="44AA8050" w14:textId="1A5A6F31" w:rsidR="00C06996" w:rsidRDefault="00C06996" w:rsidP="00C06996">
      <w:pPr>
        <w:pStyle w:val="NormalWeb"/>
        <w:ind w:left="567" w:hanging="567"/>
      </w:pPr>
      <w:r>
        <w:t>[3 ]</w:t>
      </w:r>
      <w:proofErr w:type="spellStart"/>
      <w:r>
        <w:rPr>
          <w:i/>
          <w:iCs/>
        </w:rPr>
        <w:t>CryptoSlam</w:t>
      </w:r>
      <w:proofErr w:type="spellEnd"/>
      <w:r>
        <w:rPr>
          <w:i/>
          <w:iCs/>
        </w:rPr>
        <w:t>! NFT data, rankings, prices, sales volume charts, market cap</w:t>
      </w:r>
      <w:r>
        <w:t xml:space="preserve">. [Online]. Available: https://cryptoslam.io/. [Accessed: 09-Mar-2022]. </w:t>
      </w:r>
    </w:p>
    <w:p w14:paraId="5C09484A" w14:textId="23FF75E4" w:rsidR="00C06996" w:rsidRDefault="00C06996" w:rsidP="00C06996">
      <w:pPr>
        <w:pStyle w:val="NormalWeb"/>
        <w:ind w:left="567" w:hanging="567"/>
      </w:pPr>
      <w:r>
        <w:t>[4] K. Fox, “</w:t>
      </w:r>
      <w:proofErr w:type="spellStart"/>
      <w:r>
        <w:t>TwitterNfters</w:t>
      </w:r>
      <w:proofErr w:type="spellEnd"/>
      <w:r>
        <w:t>/</w:t>
      </w:r>
      <w:proofErr w:type="spellStart"/>
      <w:r>
        <w:t>priceAnalysisPerCollectionPerTimeFrame.ipynb</w:t>
      </w:r>
      <w:proofErr w:type="spellEnd"/>
      <w:r>
        <w:t xml:space="preserve"> at main · KFOXISPROGRAMMER/</w:t>
      </w:r>
      <w:proofErr w:type="spellStart"/>
      <w:r>
        <w:t>Twitternfters</w:t>
      </w:r>
      <w:proofErr w:type="spellEnd"/>
      <w:r>
        <w:t xml:space="preserve">,” </w:t>
      </w:r>
      <w:r>
        <w:rPr>
          <w:i/>
          <w:iCs/>
        </w:rPr>
        <w:t>GitHub</w:t>
      </w:r>
      <w:r>
        <w:t xml:space="preserve">. [Online]. Available: https://github.com/kfoxIsProgrammer/TwitterNfters/blob/main/notebooks/priceAnalysisPerCollectionPerTimeFrame.ipynb. [Accessed: 09-Mar-2022]. </w:t>
      </w:r>
    </w:p>
    <w:p w14:paraId="73737468" w14:textId="0606735E" w:rsidR="006C7F67" w:rsidRDefault="006C7F67"/>
    <w:sectPr w:rsidR="006C7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D"/>
    <w:rsid w:val="000E1B60"/>
    <w:rsid w:val="00143154"/>
    <w:rsid w:val="001540EA"/>
    <w:rsid w:val="001621FB"/>
    <w:rsid w:val="001E2983"/>
    <w:rsid w:val="001E457F"/>
    <w:rsid w:val="002E70B1"/>
    <w:rsid w:val="003C76B1"/>
    <w:rsid w:val="00565878"/>
    <w:rsid w:val="00574153"/>
    <w:rsid w:val="005C00EB"/>
    <w:rsid w:val="006C7F67"/>
    <w:rsid w:val="00782796"/>
    <w:rsid w:val="0078393E"/>
    <w:rsid w:val="007A4D03"/>
    <w:rsid w:val="007C056A"/>
    <w:rsid w:val="00823A2F"/>
    <w:rsid w:val="00914A4F"/>
    <w:rsid w:val="009175A2"/>
    <w:rsid w:val="009E70C1"/>
    <w:rsid w:val="00A412A0"/>
    <w:rsid w:val="00C06996"/>
    <w:rsid w:val="00CA2120"/>
    <w:rsid w:val="00D7705D"/>
    <w:rsid w:val="00D95A9F"/>
    <w:rsid w:val="00E61500"/>
    <w:rsid w:val="00F7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B00C"/>
  <w15:chartTrackingRefBased/>
  <w15:docId w15:val="{F0DD510B-6512-4F31-B484-6D617C4C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C0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Fox</dc:creator>
  <cp:keywords/>
  <dc:description/>
  <cp:lastModifiedBy>Kevin Fox</cp:lastModifiedBy>
  <cp:revision>4</cp:revision>
  <cp:lastPrinted>2022-03-10T19:22:00Z</cp:lastPrinted>
  <dcterms:created xsi:type="dcterms:W3CDTF">2022-03-09T20:39:00Z</dcterms:created>
  <dcterms:modified xsi:type="dcterms:W3CDTF">2022-03-10T20:48:00Z</dcterms:modified>
</cp:coreProperties>
</file>