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94" w:rsidRDefault="00534F94" w:rsidP="00534F94">
      <w:pPr>
        <w:spacing w:line="480" w:lineRule="auto"/>
      </w:pPr>
      <w:r>
        <w:t>Avian sampling</w:t>
      </w:r>
    </w:p>
    <w:p w:rsidR="00FD2B03" w:rsidRDefault="00534F94" w:rsidP="004D50D1">
      <w:pPr>
        <w:spacing w:line="480" w:lineRule="auto"/>
        <w:ind w:firstLine="720"/>
      </w:pPr>
      <w:r>
        <w:t>NN technicians visited sites once per year, between April and July, from 2000-2016. Each NN visit consisted of a banding demonstration for the homeowner/participant lasting 3-5 hours in which birds were targeted with audio playback and captured in mist-nets. NN technicians affixed uniquely numbered U.S. Fish and Wildlife aluminum bands and a unique combination of colored plastic bands to the</w:t>
      </w:r>
      <w:r w:rsidR="004D50D1">
        <w:t xml:space="preserve"> legs of captured birds. Technicians measured body mass</w:t>
      </w:r>
      <w:r>
        <w:t xml:space="preserve"> </w:t>
      </w:r>
      <w:r w:rsidR="004D50D1">
        <w:t xml:space="preserve">using an electronic scale and unflattened wing chord using a wing rule. </w:t>
      </w:r>
      <w:r w:rsidR="00FD2B03">
        <w:t xml:space="preserve">When possible, birds were aged to hatch year (HY), after hatch year (AHY), second year (SY), or after second year (ASY) age classes using a combination of plumage and molt characteristics and skull ossification </w:t>
      </w:r>
      <w:r w:rsidR="00FD2B03">
        <w:fldChar w:fldCharType="begin"/>
      </w:r>
      <w:r w:rsidR="00FD2B03">
        <w:instrText xml:space="preserve"> ADDIN EN.CITE &lt;EndNote&gt;&lt;Cite&gt;&lt;Author&gt;Pyle&lt;/Author&gt;&lt;Year&gt;1997&lt;/Year&gt;&lt;RecNum&gt;146&lt;/RecNum&gt;&lt;DisplayText&gt;(Pyle 1997)&lt;/DisplayText&gt;&lt;record&gt;&lt;rec-number&gt;146&lt;/rec-number&gt;&lt;foreign-keys&gt;&lt;key app="EN" db-id="w0rpvded3wrzd6eaa2e5vr5df0frpx022svr" timestamp="1490621252"&gt;146&lt;/key&gt;&lt;/foreign-keys&gt;&lt;ref-type name="Book"&gt;6&lt;/ref-type&gt;&lt;contributors&gt;&lt;authors&gt;&lt;author&gt;Pyle, Peter&lt;/author&gt;&lt;/authors&gt;&lt;/contributors&gt;&lt;titles&gt;&lt;title&gt;Identification Guide to North American Birds: Columbidae to Ploceidae&lt;/title&gt;&lt;/titles&gt;&lt;dates&gt;&lt;year&gt;1997&lt;/year&gt;&lt;/dates&gt;&lt;publisher&gt;Slate Creek Press&lt;/publisher&gt;&lt;isbn&gt;0961894024&lt;/isbn&gt;&lt;urls&gt;&lt;/urls&gt;&lt;/record&gt;&lt;/Cite&gt;&lt;/EndNote&gt;</w:instrText>
      </w:r>
      <w:r w:rsidR="00FD2B03">
        <w:fldChar w:fldCharType="separate"/>
      </w:r>
      <w:r w:rsidR="00FD2B03">
        <w:rPr>
          <w:noProof/>
        </w:rPr>
        <w:t>(Pyle 1997)</w:t>
      </w:r>
      <w:r w:rsidR="00FD2B03">
        <w:fldChar w:fldCharType="end"/>
      </w:r>
      <w:r w:rsidR="00FD2B03">
        <w:t xml:space="preserve">. </w:t>
      </w:r>
      <w:r>
        <w:t>Participants were given the band numbers and color combinations of all birds banded at the site and instructed to report any banded birds they saw over the course of the year. After each annual visit to a study site, NN technicians s</w:t>
      </w:r>
      <w:r w:rsidR="00FD2B03">
        <w:t>pent roughly one hour s</w:t>
      </w:r>
      <w:r>
        <w:t>earch</w:t>
      </w:r>
      <w:r w:rsidR="00FD2B03">
        <w:t>ing</w:t>
      </w:r>
      <w:r>
        <w:t xml:space="preserve"> for previously banded birds within a 200m radius of the site. Birds were targeted for re-sighting with audio playback.</w:t>
      </w:r>
    </w:p>
    <w:p w:rsidR="00FD2B03" w:rsidRDefault="00FD2B03" w:rsidP="004D50D1">
      <w:pPr>
        <w:spacing w:line="480" w:lineRule="auto"/>
        <w:ind w:firstLine="720"/>
      </w:pPr>
    </w:p>
    <w:p w:rsidR="00FD2B03" w:rsidRDefault="00FD2B03" w:rsidP="00FD2B03">
      <w:pPr>
        <w:spacing w:line="480" w:lineRule="auto"/>
      </w:pPr>
      <w:r>
        <w:t>Analysis</w:t>
      </w:r>
    </w:p>
    <w:p w:rsidR="00FD2B03" w:rsidRDefault="00FD2B03" w:rsidP="00FD2B03">
      <w:pPr>
        <w:spacing w:line="480" w:lineRule="auto"/>
      </w:pPr>
      <w:r>
        <w:tab/>
      </w:r>
      <w:r w:rsidR="005929F1">
        <w:t xml:space="preserve">I estimated </w:t>
      </w:r>
      <w:r w:rsidR="00E435A3">
        <w:t>th</w:t>
      </w:r>
      <w:r w:rsidR="00EE2754">
        <w:t>e survival of seven common bird</w:t>
      </w:r>
      <w:r w:rsidR="00E435A3">
        <w:t xml:space="preserve"> species that breed in the study area: </w:t>
      </w:r>
      <w:r w:rsidR="00E435A3">
        <w:t>American Robin (</w:t>
      </w:r>
      <w:r w:rsidR="00E435A3" w:rsidRPr="009B7A4E">
        <w:rPr>
          <w:i/>
        </w:rPr>
        <w:t>Turdus migratorius</w:t>
      </w:r>
      <w:r w:rsidR="00E435A3">
        <w:t>), Carolina Chickadee (</w:t>
      </w:r>
      <w:r w:rsidR="00E435A3" w:rsidRPr="009B7A4E">
        <w:rPr>
          <w:i/>
        </w:rPr>
        <w:t>Poecile carolinensis</w:t>
      </w:r>
      <w:r w:rsidR="00E435A3">
        <w:t>), Carolina Wren (</w:t>
      </w:r>
      <w:r w:rsidR="00E435A3" w:rsidRPr="009B7A4E">
        <w:rPr>
          <w:i/>
        </w:rPr>
        <w:t>Thryothorus ludovicianus</w:t>
      </w:r>
      <w:r w:rsidR="00E435A3">
        <w:t>), Gray Catbird (</w:t>
      </w:r>
      <w:r w:rsidR="00E435A3" w:rsidRPr="009B7A4E">
        <w:rPr>
          <w:i/>
        </w:rPr>
        <w:t>Dumetella carolinensis</w:t>
      </w:r>
      <w:r w:rsidR="00E435A3">
        <w:t>), House Wren (</w:t>
      </w:r>
      <w:r w:rsidR="00E435A3" w:rsidRPr="009B7A4E">
        <w:rPr>
          <w:i/>
        </w:rPr>
        <w:t>Troglodytes aedon</w:t>
      </w:r>
      <w:r w:rsidR="00E435A3">
        <w:t>), Northern Cardinal (</w:t>
      </w:r>
      <w:r w:rsidR="00E435A3" w:rsidRPr="009B7A4E">
        <w:rPr>
          <w:i/>
        </w:rPr>
        <w:t>Cardinalis cardinalis</w:t>
      </w:r>
      <w:r w:rsidR="00E435A3">
        <w:t>), and Song Sparrow (</w:t>
      </w:r>
      <w:r w:rsidR="00E435A3" w:rsidRPr="009B7A4E">
        <w:rPr>
          <w:i/>
        </w:rPr>
        <w:t>Melospiza melodia</w:t>
      </w:r>
      <w:r w:rsidR="00E435A3">
        <w:t>).</w:t>
      </w:r>
      <w:r w:rsidR="006F1B99">
        <w:t xml:space="preserve"> </w:t>
      </w:r>
      <w:r w:rsidR="00682330">
        <w:t>Analysis was carried out using</w:t>
      </w:r>
      <w:r w:rsidR="006F1B99">
        <w:t xml:space="preserve"> package </w:t>
      </w:r>
      <w:r w:rsidR="006F1B99">
        <w:rPr>
          <w:i/>
        </w:rPr>
        <w:t xml:space="preserve">marked </w:t>
      </w:r>
      <w:r w:rsidR="006F1B99" w:rsidRPr="006F1B99">
        <w:fldChar w:fldCharType="begin"/>
      </w:r>
      <w:r w:rsidR="006F1B99" w:rsidRPr="006F1B99">
        <w:instrText xml:space="preserve"> ADDIN EN.CITE &lt;EndNote&gt;&lt;Cite&gt;&lt;Author&gt;Laake&lt;/Author&gt;&lt;Year&gt;2013&lt;/Year&gt;&lt;RecNum&gt;147&lt;/RecNum&gt;&lt;DisplayText&gt;(Laake et al. 2013)&lt;/DisplayText&gt;&lt;record&gt;&lt;rec-number&gt;147&lt;/rec-number&gt;&lt;foreign-keys&gt;&lt;key app="EN" db-id="w0rpvded3wrzd6eaa2e5vr5df0frpx022svr" timestamp="1490624331"&gt;147&lt;/key&gt;&lt;/foreign-keys&gt;&lt;ref-type name="Journal Article"&gt;17&lt;/ref-type&gt;&lt;contributors&gt;&lt;authors&gt;&lt;author&gt;Laake, Jeff L&lt;/author&gt;&lt;author&gt;Johnson, Devin S&lt;/author&gt;&lt;author&gt;Conn, Paul B&lt;/author&gt;&lt;/authors&gt;&lt;/contributors&gt;&lt;titles&gt;&lt;title&gt;marked: an R package for maximum likelihood and Markov Chain Monte Carlo analysis of capture–recapture data&lt;/title&gt;&lt;secondary-title&gt;Methods in Ecology and Evolution&lt;/secondary-title&gt;&lt;/titles&gt;&lt;periodical&gt;&lt;full-title&gt;Methods in Ecology and Evolution&lt;/full-title&gt;&lt;/periodical&gt;&lt;pages&gt;885-890&lt;/pages&gt;&lt;volume&gt;4&lt;/volume&gt;&lt;number&gt;9&lt;/number&gt;&lt;dates&gt;&lt;year&gt;2013&lt;/year&gt;&lt;/dates&gt;&lt;isbn&gt;2041-210X&lt;/isbn&gt;&lt;urls&gt;&lt;/urls&gt;&lt;/record&gt;&lt;/Cite&gt;&lt;/EndNote&gt;</w:instrText>
      </w:r>
      <w:r w:rsidR="006F1B99" w:rsidRPr="006F1B99">
        <w:fldChar w:fldCharType="separate"/>
      </w:r>
      <w:r w:rsidR="006F1B99" w:rsidRPr="006F1B99">
        <w:rPr>
          <w:noProof/>
        </w:rPr>
        <w:t>(Laake et al. 2013)</w:t>
      </w:r>
      <w:r w:rsidR="006F1B99" w:rsidRPr="006F1B99">
        <w:fldChar w:fldCharType="end"/>
      </w:r>
      <w:r w:rsidR="006F1B99">
        <w:t xml:space="preserve"> in program R </w:t>
      </w:r>
      <w:r w:rsidR="006F1B99">
        <w:fldChar w:fldCharType="begin"/>
      </w:r>
      <w:r w:rsidR="006F1B99">
        <w:instrText xml:space="preserve"> ADDIN EN.CITE &lt;EndNote&gt;&lt;Cite&gt;&lt;Author&gt;Team&lt;/Author&gt;&lt;Year&gt;2014&lt;/Year&gt;&lt;RecNum&gt;138&lt;/RecNum&gt;&lt;DisplayText&gt;(Team 2014)&lt;/DisplayText&gt;&lt;record&gt;&lt;rec-number&gt;138&lt;/rec-number&gt;&lt;foreign-keys&gt;&lt;key app="EN" db-id="w0rpvded3wrzd6eaa2e5vr5df0frpx022svr" timestamp="1490558338"&gt;138&lt;/key&gt;&lt;/foreign-keys&gt;&lt;ref-type name="Generic"&gt;13&lt;/ref-type&gt;&lt;contributors&gt;&lt;authors&gt;&lt;author&gt;R Core Team&lt;/author&gt;&lt;/authors&gt;&lt;/contributors&gt;&lt;titles&gt;&lt;title&gt;R: A language and environment for statistical computing. R Foundation for Statistical Computing, Vienna, Austria. 2013&lt;/title&gt;&lt;/titles&gt;&lt;dates&gt;&lt;year&gt;2014&lt;/year&gt;&lt;/dates&gt;&lt;urls&gt;&lt;/urls&gt;&lt;/record&gt;&lt;/Cite&gt;&lt;/EndNote&gt;</w:instrText>
      </w:r>
      <w:r w:rsidR="006F1B99">
        <w:fldChar w:fldCharType="separate"/>
      </w:r>
      <w:r w:rsidR="006F1B99">
        <w:rPr>
          <w:noProof/>
        </w:rPr>
        <w:t>(Team 2014)</w:t>
      </w:r>
      <w:r w:rsidR="006F1B99">
        <w:fldChar w:fldCharType="end"/>
      </w:r>
      <w:r w:rsidR="00682330">
        <w:t xml:space="preserve">. I fit Cormack-Jolly-Seber </w:t>
      </w:r>
      <w:r w:rsidR="001D4EE5">
        <w:t xml:space="preserve">(CJS) maximum-likelihood mark-recapture </w:t>
      </w:r>
      <w:r w:rsidR="00682330">
        <w:t xml:space="preserve">models </w:t>
      </w:r>
      <w:r w:rsidR="00682330">
        <w:lastRenderedPageBreak/>
        <w:fldChar w:fldCharType="begin"/>
      </w:r>
      <w:r w:rsidR="00682330">
        <w:instrText xml:space="preserve"> ADDIN EN.CITE &lt;EndNote&gt;&lt;Cite&gt;&lt;Author&gt;Pledger&lt;/Author&gt;&lt;Year&gt;2003&lt;/Year&gt;&lt;RecNum&gt;148&lt;/RecNum&gt;&lt;DisplayText&gt;(Pledger et al. 2003)&lt;/DisplayText&gt;&lt;record&gt;&lt;rec-number&gt;148&lt;/rec-number&gt;&lt;foreign-keys&gt;&lt;key app="EN" db-id="w0rpvded3wrzd6eaa2e5vr5df0frpx022svr" timestamp="1490624680"&gt;148&lt;/key&gt;&lt;/foreign-keys&gt;&lt;ref-type name="Journal Article"&gt;17&lt;/ref-type&gt;&lt;contributors&gt;&lt;authors&gt;&lt;author&gt;Pledger, Shirley&lt;/author&gt;&lt;author&gt;Pollock, Kenneth H&lt;/author&gt;&lt;author&gt;Norris, James L&lt;/author&gt;&lt;/authors&gt;&lt;/contributors&gt;&lt;titles&gt;&lt;title&gt;Open Capture‐Recapture Models with Heterogeneity: I. Cormack‐Jolly‐Seber Model&lt;/title&gt;&lt;secondary-title&gt;Biometrics&lt;/secondary-title&gt;&lt;/titles&gt;&lt;periodical&gt;&lt;full-title&gt;Biometrics&lt;/full-title&gt;&lt;/periodical&gt;&lt;pages&gt;786-794&lt;/pages&gt;&lt;volume&gt;59&lt;/volume&gt;&lt;number&gt;4&lt;/number&gt;&lt;dates&gt;&lt;year&gt;2003&lt;/year&gt;&lt;/dates&gt;&lt;isbn&gt;1541-0420&lt;/isbn&gt;&lt;urls&gt;&lt;/urls&gt;&lt;/record&gt;&lt;/Cite&gt;&lt;/EndNote&gt;</w:instrText>
      </w:r>
      <w:r w:rsidR="00682330">
        <w:fldChar w:fldCharType="separate"/>
      </w:r>
      <w:r w:rsidR="00682330">
        <w:rPr>
          <w:noProof/>
        </w:rPr>
        <w:t>(Pledger et al. 2003)</w:t>
      </w:r>
      <w:r w:rsidR="00682330">
        <w:fldChar w:fldCharType="end"/>
      </w:r>
      <w:r w:rsidR="00682330">
        <w:t xml:space="preserve"> to data to examine the influence of individual and site covariates on parameters:</w:t>
      </w:r>
    </w:p>
    <w:p w:rsidR="00682330" w:rsidRDefault="00682330" w:rsidP="00FD2B03">
      <w:pPr>
        <w:spacing w:line="480" w:lineRule="auto"/>
        <w:rPr>
          <w:rFonts w:cs="Times New Roman"/>
        </w:rPr>
      </w:pPr>
      <w:r>
        <w:tab/>
      </w:r>
      <w:r>
        <w:tab/>
      </w:r>
      <w:r>
        <w:rPr>
          <w:rFonts w:cs="Times New Roman"/>
        </w:rPr>
        <w:t>ϕ</w:t>
      </w:r>
      <w:r>
        <w:rPr>
          <w:rFonts w:cs="Times New Roman"/>
        </w:rPr>
        <w:tab/>
      </w:r>
      <w:r w:rsidR="005E4BEB">
        <w:rPr>
          <w:rFonts w:cs="Times New Roman"/>
        </w:rPr>
        <w:t>Apparent survival</w:t>
      </w:r>
    </w:p>
    <w:p w:rsidR="00765A8D" w:rsidRDefault="00765A8D" w:rsidP="00FD2B03">
      <w:pPr>
        <w:spacing w:line="480" w:lineRule="auto"/>
        <w:rPr>
          <w:rFonts w:cs="Times New Roman"/>
        </w:rPr>
      </w:pPr>
      <w:r>
        <w:rPr>
          <w:rFonts w:cs="Times New Roman"/>
        </w:rPr>
        <w:tab/>
      </w:r>
      <w:r>
        <w:rPr>
          <w:rFonts w:cs="Times New Roman"/>
        </w:rPr>
        <w:tab/>
      </w:r>
      <w:r>
        <w:rPr>
          <w:rFonts w:cs="Times New Roman"/>
          <w:i/>
        </w:rPr>
        <w:t>p</w:t>
      </w:r>
      <w:r>
        <w:rPr>
          <w:rFonts w:cs="Times New Roman"/>
        </w:rPr>
        <w:tab/>
        <w:t>Pro</w:t>
      </w:r>
      <w:r w:rsidR="005E4BEB">
        <w:rPr>
          <w:rFonts w:cs="Times New Roman"/>
        </w:rPr>
        <w:t xml:space="preserve">bability </w:t>
      </w:r>
      <w:r w:rsidR="00E170F4">
        <w:rPr>
          <w:rFonts w:cs="Times New Roman"/>
        </w:rPr>
        <w:t>an individual in the survey area is detected</w:t>
      </w:r>
    </w:p>
    <w:p w:rsidR="00520B89" w:rsidRPr="00C8598C" w:rsidRDefault="00765A8D" w:rsidP="00765A8D">
      <w:pPr>
        <w:spacing w:line="480" w:lineRule="auto"/>
      </w:pPr>
      <w:r>
        <w:rPr>
          <w:rFonts w:cs="Times New Roman"/>
        </w:rPr>
        <w:tab/>
      </w:r>
      <w:r w:rsidR="00D414A8">
        <w:rPr>
          <w:rFonts w:cs="Times New Roman"/>
        </w:rPr>
        <w:t xml:space="preserve">Apparent annual survival refers to the probability that an individual survives to the next year </w:t>
      </w:r>
      <w:r w:rsidR="00D414A8" w:rsidRPr="001D4EE5">
        <w:rPr>
          <w:rFonts w:cs="Times New Roman"/>
        </w:rPr>
        <w:t>and</w:t>
      </w:r>
      <w:r w:rsidR="00D414A8">
        <w:rPr>
          <w:rFonts w:cs="Times New Roman"/>
          <w:i/>
        </w:rPr>
        <w:t xml:space="preserve"> </w:t>
      </w:r>
      <w:r w:rsidR="00D414A8">
        <w:rPr>
          <w:rFonts w:cs="Times New Roman"/>
        </w:rPr>
        <w:t xml:space="preserve">remains within the survey area. </w:t>
      </w:r>
      <w:r w:rsidR="00520B89">
        <w:t>I</w:t>
      </w:r>
      <w:r>
        <w:t xml:space="preserve"> select</w:t>
      </w:r>
      <w:r w:rsidR="00520B89">
        <w:t>ed</w:t>
      </w:r>
      <w:r>
        <w:t xml:space="preserve"> the best model from </w:t>
      </w:r>
      <w:r w:rsidR="001D6A45">
        <w:t>a set of candidate models</w:t>
      </w:r>
      <w:r w:rsidR="00520B89">
        <w:t xml:space="preserve"> using AIC</w:t>
      </w:r>
      <w:r w:rsidR="00520B89">
        <w:rPr>
          <w:vertAlign w:val="subscript"/>
        </w:rPr>
        <w:t>c</w:t>
      </w:r>
      <w:r w:rsidR="00520B89">
        <w:t xml:space="preserve"> values</w:t>
      </w:r>
      <w:r w:rsidR="001D6A45">
        <w:t>.</w:t>
      </w:r>
      <w:r w:rsidR="00520B89">
        <w:t xml:space="preserve"> </w:t>
      </w:r>
      <w:r w:rsidR="00C8598C">
        <w:t xml:space="preserve">Models with a </w:t>
      </w:r>
      <w:r w:rsidR="00C8598C">
        <w:rPr>
          <w:rFonts w:cs="Times New Roman"/>
        </w:rPr>
        <w:t>Δ</w:t>
      </w:r>
      <w:r w:rsidR="00C8598C">
        <w:t>AIC</w:t>
      </w:r>
      <w:r w:rsidR="00C8598C">
        <w:rPr>
          <w:vertAlign w:val="subscript"/>
        </w:rPr>
        <w:t>c</w:t>
      </w:r>
      <w:r w:rsidR="00C8598C">
        <w:t xml:space="preserve"> value of less than 2 was considered to have substantial support </w:t>
      </w:r>
      <w:r w:rsidR="00C8598C">
        <w:fldChar w:fldCharType="begin"/>
      </w:r>
      <w:r w:rsidR="00C8598C">
        <w:instrText xml:space="preserve"> ADDIN EN.CITE &lt;EndNote&gt;&lt;Cite&gt;&lt;Author&gt;Burnham&lt;/Author&gt;&lt;Year&gt;2003&lt;/Year&gt;&lt;RecNum&gt;155&lt;/RecNum&gt;&lt;DisplayText&gt;(Burnham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C8598C">
        <w:fldChar w:fldCharType="separate"/>
      </w:r>
      <w:r w:rsidR="00C8598C">
        <w:rPr>
          <w:noProof/>
        </w:rPr>
        <w:t>(Burnham and Anderson 2003)</w:t>
      </w:r>
      <w:r w:rsidR="00C8598C">
        <w:fldChar w:fldCharType="end"/>
      </w:r>
      <w:r w:rsidR="00C8598C">
        <w:t xml:space="preserve">. </w:t>
      </w:r>
      <w:r w:rsidR="00C8598C">
        <w:t>I calculated AIC</w:t>
      </w:r>
      <w:r w:rsidR="00C8598C">
        <w:rPr>
          <w:vertAlign w:val="subscript"/>
        </w:rPr>
        <w:t>c</w:t>
      </w:r>
      <w:r w:rsidR="00C8598C">
        <w:t xml:space="preserve"> weights to determine the relative weight of each model in the set.</w:t>
      </w:r>
    </w:p>
    <w:p w:rsidR="00F6265D" w:rsidRDefault="00E170F4" w:rsidP="00765A8D">
      <w:pPr>
        <w:spacing w:line="480" w:lineRule="auto"/>
      </w:pPr>
      <w:r>
        <w:tab/>
      </w:r>
      <w:r w:rsidR="005073E9">
        <w:t>For each species, I created a set of a priori candidate models including covariates known to influence bird survival a</w:t>
      </w:r>
      <w:r w:rsidR="00995065">
        <w:t>nd detection a</w:t>
      </w:r>
      <w:r w:rsidR="005073E9">
        <w:t>s well as a set of models including cat abundance covariates</w:t>
      </w:r>
      <w:r w:rsidR="0033302C">
        <w:t xml:space="preserve"> (Table 4</w:t>
      </w:r>
      <w:r w:rsidR="004A3231">
        <w:t>)</w:t>
      </w:r>
      <w:r w:rsidR="005073E9">
        <w:t xml:space="preserve">. </w:t>
      </w:r>
      <w:r w:rsidR="00471E47">
        <w:t>Individual</w:t>
      </w:r>
      <w:r w:rsidR="00EF619E">
        <w:t xml:space="preserve"> behavior can differ greatly by sex, resulting in differential capture rates and detection </w:t>
      </w:r>
      <w:r w:rsidR="00EF619E">
        <w:fldChar w:fldCharType="begin"/>
      </w:r>
      <w:r w:rsidR="00EF619E">
        <w:instrText xml:space="preserve"> ADDIN EN.CITE &lt;EndNote&gt;&lt;Cite&gt;&lt;Author&gt;Amrhein&lt;/Author&gt;&lt;Year&gt;2012&lt;/Year&gt;&lt;RecNum&gt;149&lt;/RecNum&gt;&lt;DisplayText&gt;(Amrhein et al. 2012)&lt;/DisplayText&gt;&lt;record&gt;&lt;rec-number&gt;149&lt;/rec-number&gt;&lt;foreign-keys&gt;&lt;key app="EN" db-id="w0rpvded3wrzd6eaa2e5vr5df0frpx022svr" timestamp="1490639939"&gt;149&lt;/key&gt;&lt;/foreign-keys&gt;&lt;ref-type name="Journal Article"&gt;17&lt;/ref-type&gt;&lt;contributors&gt;&lt;authors&gt;&lt;author&gt;Amrhein, Valentin&lt;/author&gt;&lt;author&gt;Scaar, Bertrand&lt;/author&gt;&lt;author&gt;Baumann, Marc&lt;/author&gt;&lt;author&gt;Minery, Nicolas&lt;/author&gt;&lt;author&gt;Binnert, Jean‐Paul&lt;/author&gt;&lt;author&gt;Korner‐Nievergelt, Fränzi&lt;/author&gt;&lt;/authors&gt;&lt;/contributors&gt;&lt;titles&gt;&lt;title&gt;Estimating adult sex ratios from bird mist netting data&lt;/title&gt;&lt;secondary-title&gt;Methods in Ecology and Evolution&lt;/secondary-title&gt;&lt;/titles&gt;&lt;periodical&gt;&lt;full-title&gt;Methods in Ecology and Evolution&lt;/full-title&gt;&lt;/periodical&gt;&lt;pages&gt;713-720&lt;/pages&gt;&lt;volume&gt;3&lt;/volume&gt;&lt;number&gt;4&lt;/number&gt;&lt;dates&gt;&lt;year&gt;2012&lt;/year&gt;&lt;/dates&gt;&lt;isbn&gt;2041-210X&lt;/isbn&gt;&lt;urls&gt;&lt;/urls&gt;&lt;/record&gt;&lt;/Cite&gt;&lt;/EndNote&gt;</w:instrText>
      </w:r>
      <w:r w:rsidR="00EF619E">
        <w:fldChar w:fldCharType="separate"/>
      </w:r>
      <w:r w:rsidR="00EF619E">
        <w:rPr>
          <w:noProof/>
        </w:rPr>
        <w:t>(Amrhein et al. 2012)</w:t>
      </w:r>
      <w:r w:rsidR="00EF619E">
        <w:fldChar w:fldCharType="end"/>
      </w:r>
      <w:r w:rsidR="001D6A45">
        <w:t xml:space="preserve"> as well as survival </w:t>
      </w:r>
      <w:r w:rsidR="001D6A45">
        <w:fldChar w:fldCharType="begin"/>
      </w:r>
      <w:r w:rsidR="001D6A45">
        <w:instrText xml:space="preserve"> ADDIN EN.CITE &lt;EndNote&gt;&lt;Cite&gt;&lt;Author&gt;Evans&lt;/Author&gt;&lt;Year&gt;2015&lt;/Year&gt;&lt;RecNum&gt;151&lt;/RecNum&gt;&lt;DisplayText&gt;(Evans et al. 2015)&lt;/DisplayText&gt;&lt;record&gt;&lt;rec-number&gt;151&lt;/rec-number&gt;&lt;foreign-keys&gt;&lt;key app="EN" db-id="w0rpvded3wrzd6eaa2e5vr5df0frpx022svr" timestamp="1490641631"&gt;151&lt;/key&gt;&lt;/foreign-keys&gt;&lt;ref-type name="Journal Article"&gt;17&lt;/ref-type&gt;&lt;contributors&gt;&lt;authors&gt;&lt;author&gt;Evans, Brian S.&lt;/author&gt;&lt;author&gt;Ryder, Thomas B.&lt;/author&gt;&lt;author&gt;Reitsma, Robert&lt;/author&gt;&lt;author&gt;Hurlbert, Allen H.&lt;/author&gt;&lt;author&gt;Marra, Peter P.&lt;/author&gt;&lt;/authors&gt;&lt;/contributors&gt;&lt;titles&gt;&lt;title&gt;Characterizing avian survival along a rural-to-urban land use gradient&lt;/title&gt;&lt;secondary-title&gt;Ecology&lt;/secondary-title&gt;&lt;/titles&gt;&lt;periodical&gt;&lt;full-title&gt;Ecology&lt;/full-title&gt;&lt;/periodical&gt;&lt;pages&gt;1631-1640&lt;/pages&gt;&lt;volume&gt;96&lt;/volume&gt;&lt;number&gt;6&lt;/number&gt;&lt;keywords&gt;&lt;keyword&gt;avian demography&lt;/keyword&gt;&lt;keyword&gt;birds&lt;/keyword&gt;&lt;keyword&gt;citizen science&lt;/keyword&gt;&lt;keyword&gt;land use gradients&lt;/keyword&gt;&lt;keyword&gt;mark–recapture&lt;/keyword&gt;&lt;keyword&gt;Neighborhood Nestwatch&lt;/keyword&gt;&lt;keyword&gt;resource availability&lt;/keyword&gt;&lt;keyword&gt;survival&lt;/keyword&gt;&lt;keyword&gt;top-down vs. bottom-up processes&lt;/keyword&gt;&lt;keyword&gt;urbanization&lt;/keyword&gt;&lt;keyword&gt;Washington, D.C., USA&lt;/keyword&gt;&lt;/keywords&gt;&lt;dates&gt;&lt;year&gt;2015&lt;/year&gt;&lt;/dates&gt;&lt;publisher&gt;Ecological Society of America&lt;/publisher&gt;&lt;isbn&gt;1939-9170&lt;/isbn&gt;&lt;urls&gt;&lt;related-urls&gt;&lt;url&gt;http://dx.doi.org/10.1890/14-0171.1&lt;/url&gt;&lt;/related-urls&gt;&lt;/urls&gt;&lt;electronic-resource-num&gt;10.1890/14-0171.1&lt;/electronic-resource-num&gt;&lt;/record&gt;&lt;/Cite&gt;&lt;/EndNote&gt;</w:instrText>
      </w:r>
      <w:r w:rsidR="001D6A45">
        <w:fldChar w:fldCharType="separate"/>
      </w:r>
      <w:r w:rsidR="001D6A45">
        <w:rPr>
          <w:noProof/>
        </w:rPr>
        <w:t>(Evans et al. 2015)</w:t>
      </w:r>
      <w:r w:rsidR="001D6A45">
        <w:fldChar w:fldCharType="end"/>
      </w:r>
      <w:r w:rsidR="00471E47">
        <w:t xml:space="preserve"> and dispersal </w:t>
      </w:r>
      <w:r w:rsidR="00471E47">
        <w:fldChar w:fldCharType="begin"/>
      </w:r>
      <w:r w:rsidR="00471E47">
        <w:instrText xml:space="preserve"> ADDIN EN.CITE &lt;EndNote&gt;&lt;Cite&gt;&lt;Author&gt;Clarke&lt;/Author&gt;&lt;Year&gt;1997&lt;/Year&gt;&lt;RecNum&gt;153&lt;/RecNum&gt;&lt;DisplayText&gt;(Clarke et al. 1997)&lt;/DisplayText&gt;&lt;record&gt;&lt;rec-number&gt;153&lt;/rec-number&gt;&lt;foreign-keys&gt;&lt;key app="EN" db-id="w0rpvded3wrzd6eaa2e5vr5df0frpx022svr" timestamp="1490642573"&gt;153&lt;/key&gt;&lt;/foreign-keys&gt;&lt;ref-type name="Journal Article"&gt;17&lt;/ref-type&gt;&lt;contributors&gt;&lt;authors&gt;&lt;author&gt;Clarke, Alice L&lt;/author&gt;&lt;author&gt;Sæther, Bernt-Erik&lt;/author&gt;&lt;author&gt;Røskaft, Eivin&lt;/author&gt;&lt;/authors&gt;&lt;/contributors&gt;&lt;titles&gt;&lt;title&gt;Sex biases in avian dispersal: a reappraisal&lt;/title&gt;&lt;secondary-title&gt;Oikos&lt;/secondary-title&gt;&lt;/titles&gt;&lt;periodical&gt;&lt;full-title&gt;Oikos&lt;/full-title&gt;&lt;/periodical&gt;&lt;pages&gt;429-438&lt;/pages&gt;&lt;dates&gt;&lt;year&gt;1997&lt;/year&gt;&lt;/dates&gt;&lt;isbn&gt;0030-1299&lt;/isbn&gt;&lt;urls&gt;&lt;/urls&gt;&lt;/record&gt;&lt;/Cite&gt;&lt;/EndNote&gt;</w:instrText>
      </w:r>
      <w:r w:rsidR="00471E47">
        <w:fldChar w:fldCharType="separate"/>
      </w:r>
      <w:r w:rsidR="00471E47">
        <w:rPr>
          <w:noProof/>
        </w:rPr>
        <w:t>(Clarke et al. 1997)</w:t>
      </w:r>
      <w:r w:rsidR="00471E47">
        <w:fldChar w:fldCharType="end"/>
      </w:r>
      <w:r w:rsidR="00F6265D">
        <w:t xml:space="preserve">, so I included a binary sex covariate to estimate detection and apparent survival. </w:t>
      </w:r>
    </w:p>
    <w:p w:rsidR="004A3231" w:rsidRDefault="00F6265D" w:rsidP="00FD2B03">
      <w:pPr>
        <w:spacing w:line="480" w:lineRule="auto"/>
      </w:pPr>
      <w:r>
        <w:tab/>
      </w:r>
      <w:r w:rsidR="00471E47">
        <w:t xml:space="preserve">Body condition may be an important factor influencing survival </w:t>
      </w:r>
      <w:r w:rsidR="00471E47">
        <w:fldChar w:fldCharType="begin"/>
      </w:r>
      <w:r w:rsidR="00471E47">
        <w:instrText xml:space="preserve"> ADDIN EN.CITE &lt;EndNote&gt;&lt;Cite&gt;&lt;Author&gt;Johnson&lt;/Author&gt;&lt;Year&gt;2006&lt;/Year&gt;&lt;RecNum&gt;152&lt;/RecNum&gt;&lt;DisplayText&gt;(Johnson et al. 2006)&lt;/DisplayText&gt;&lt;record&gt;&lt;rec-number&gt;152&lt;/rec-number&gt;&lt;foreign-keys&gt;&lt;key app="EN" db-id="w0rpvded3wrzd6eaa2e5vr5df0frpx022svr" timestamp="1490642291"&gt;152&lt;/key&gt;&lt;/foreign-keys&gt;&lt;ref-type name="Journal Article"&gt;17&lt;/ref-type&gt;&lt;contributors&gt;&lt;authors&gt;&lt;author&gt;Johnson, Matthew D&lt;/author&gt;&lt;author&gt;Sherry, Thomas W&lt;/author&gt;&lt;author&gt;Holmes, Richard T&lt;/author&gt;&lt;author&gt;Marra, Peter P&lt;/author&gt;&lt;/authors&gt;&lt;/contributors&gt;&lt;titles&gt;&lt;title&gt;Assessing habitat quality for a migratory songbird wintering in natural and agricultural habitats&lt;/title&gt;&lt;secondary-title&gt;Conservation Biology&lt;/secondary-title&gt;&lt;/titles&gt;&lt;periodical&gt;&lt;full-title&gt;Conservation Biology&lt;/full-title&gt;&lt;/periodical&gt;&lt;pages&gt;1433-1444&lt;/pages&gt;&lt;volume&gt;20&lt;/volume&gt;&lt;number&gt;5&lt;/number&gt;&lt;dates&gt;&lt;year&gt;2006&lt;/year&gt;&lt;/dates&gt;&lt;isbn&gt;1523-1739&lt;/isbn&gt;&lt;urls&gt;&lt;/urls&gt;&lt;/record&gt;&lt;/Cite&gt;&lt;/EndNote&gt;</w:instrText>
      </w:r>
      <w:r w:rsidR="00471E47">
        <w:fldChar w:fldCharType="separate"/>
      </w:r>
      <w:r w:rsidR="00471E47">
        <w:rPr>
          <w:noProof/>
        </w:rPr>
        <w:t>(Johnson et al. 2006)</w:t>
      </w:r>
      <w:r w:rsidR="00471E47">
        <w:fldChar w:fldCharType="end"/>
      </w:r>
      <w:r w:rsidR="00471E47">
        <w:t xml:space="preserve">. </w:t>
      </w:r>
      <w:r w:rsidR="004A3231">
        <w:t xml:space="preserve">I calculated a scaled body condition measure (BCI) using wing chord and body mass by the method proposed by </w:t>
      </w:r>
      <w:r w:rsidR="004A3231">
        <w:fldChar w:fldCharType="begin"/>
      </w:r>
      <w:r w:rsidR="004A3231">
        <w:instrText xml:space="preserve"> ADDIN EN.CITE &lt;EndNote&gt;&lt;Cite AuthorYear="1"&gt;&lt;Author&gt;Peig&lt;/Author&gt;&lt;Year&gt;2009&lt;/Year&gt;&lt;RecNum&gt;154&lt;/RecNum&gt;&lt;DisplayText&gt;Peig and Green (2009)&lt;/DisplayText&gt;&lt;record&gt;&lt;rec-number&gt;154&lt;/rec-number&gt;&lt;foreign-keys&gt;&lt;key app="EN" db-id="w0rpvded3wrzd6eaa2e5vr5df0frpx022svr" timestamp="1490643116"&gt;154&lt;/key&gt;&lt;/foreign-keys&gt;&lt;ref-type name="Journal Article"&gt;17&lt;/ref-type&gt;&lt;contributors&gt;&lt;authors&gt;&lt;author&gt;Peig, Jordi&lt;/author&gt;&lt;author&gt;Green, Andy J&lt;/author&gt;&lt;/authors&gt;&lt;/contributors&gt;&lt;titles&gt;&lt;title&gt;New perspectives for estimating body condition from mass/length data: the scaled mass index as an alternative method&lt;/title&gt;&lt;secondary-title&gt;Oikos&lt;/secondary-title&gt;&lt;/titles&gt;&lt;periodical&gt;&lt;full-title&gt;Oikos&lt;/full-title&gt;&lt;/periodical&gt;&lt;pages&gt;1883-1891&lt;/pages&gt;&lt;volume&gt;118&lt;/volume&gt;&lt;number&gt;12&lt;/number&gt;&lt;dates&gt;&lt;year&gt;2009&lt;/year&gt;&lt;/dates&gt;&lt;isbn&gt;1600-0706&lt;/isbn&gt;&lt;urls&gt;&lt;/urls&gt;&lt;/record&gt;&lt;/Cite&gt;&lt;/EndNote&gt;</w:instrText>
      </w:r>
      <w:r w:rsidR="004A3231">
        <w:fldChar w:fldCharType="separate"/>
      </w:r>
      <w:r w:rsidR="004A3231">
        <w:rPr>
          <w:noProof/>
        </w:rPr>
        <w:t>Peig and Green (2009)</w:t>
      </w:r>
      <w:r w:rsidR="004A3231">
        <w:fldChar w:fldCharType="end"/>
      </w:r>
      <w:r w:rsidR="004A3231">
        <w:t xml:space="preserve">. Differences in body condition may differentially influence survival of males and females, so in the models that included BCI, I also included a sex </w:t>
      </w:r>
      <w:r w:rsidR="004A3231">
        <w:rPr>
          <w:rFonts w:cs="Times New Roman"/>
        </w:rPr>
        <w:t>×</w:t>
      </w:r>
      <w:r w:rsidR="004A3231">
        <w:t xml:space="preserve"> BCI interaction term.</w:t>
      </w:r>
    </w:p>
    <w:p w:rsidR="004A3231" w:rsidRDefault="004A3231" w:rsidP="00FD2B03">
      <w:pPr>
        <w:spacing w:line="480" w:lineRule="auto"/>
      </w:pPr>
      <w:r>
        <w:tab/>
        <w:t>I used percent impervious surface cover to represent the urbanization gradient of the study area. Depending on the species, impervi</w:t>
      </w:r>
      <w:r w:rsidR="007C5E59">
        <w:t>ous surface may have a linear,</w:t>
      </w:r>
      <w:r>
        <w:t xml:space="preserve"> quadratic</w:t>
      </w:r>
      <w:r w:rsidR="007C5E59">
        <w:t>, or no</w:t>
      </w:r>
      <w:r>
        <w:t xml:space="preserve"> relationship with survival </w:t>
      </w:r>
      <w:r>
        <w:fldChar w:fldCharType="begin"/>
      </w:r>
      <w:r>
        <w:instrText xml:space="preserve"> ADDIN EN.CITE &lt;EndNote&gt;&lt;Cite&gt;&lt;Author&gt;Evans&lt;/Author&gt;&lt;Year&gt;2015&lt;/Year&gt;&lt;RecNum&gt;151&lt;/RecNum&gt;&lt;DisplayText&gt;(Evans et al. 2015)&lt;/DisplayText&gt;&lt;record&gt;&lt;rec-number&gt;151&lt;/rec-number&gt;&lt;foreign-keys&gt;&lt;key app="EN" db-id="w0rpvded3wrzd6eaa2e5vr5df0frpx022svr" timestamp="1490641631"&gt;151&lt;/key&gt;&lt;/foreign-keys&gt;&lt;ref-type name="Journal Article"&gt;17&lt;/ref-type&gt;&lt;contributors&gt;&lt;authors&gt;&lt;author&gt;Evans, Brian S.&lt;/author&gt;&lt;author&gt;Ryder, Thomas B.&lt;/author&gt;&lt;author&gt;Reitsma, Robert&lt;/author&gt;&lt;author&gt;Hurlbert, Allen H.&lt;/author&gt;&lt;author&gt;Marra, Peter P.&lt;/author&gt;&lt;/authors&gt;&lt;/contributors&gt;&lt;titles&gt;&lt;title&gt;Characterizing avian survival along a rural-to-urban land use gradient&lt;/title&gt;&lt;secondary-title&gt;Ecology&lt;/secondary-title&gt;&lt;/titles&gt;&lt;periodical&gt;&lt;full-title&gt;Ecology&lt;/full-title&gt;&lt;/periodical&gt;&lt;pages&gt;1631-1640&lt;/pages&gt;&lt;volume&gt;96&lt;/volume&gt;&lt;number&gt;6&lt;/number&gt;&lt;keywords&gt;&lt;keyword&gt;avian demography&lt;/keyword&gt;&lt;keyword&gt;birds&lt;/keyword&gt;&lt;keyword&gt;citizen science&lt;/keyword&gt;&lt;keyword&gt;land use gradients&lt;/keyword&gt;&lt;keyword&gt;mark–recapture&lt;/keyword&gt;&lt;keyword&gt;Neighborhood Nestwatch&lt;/keyword&gt;&lt;keyword&gt;resource availability&lt;/keyword&gt;&lt;keyword&gt;survival&lt;/keyword&gt;&lt;keyword&gt;top-down vs. bottom-up processes&lt;/keyword&gt;&lt;keyword&gt;urbanization&lt;/keyword&gt;&lt;keyword&gt;Washington, D.C., USA&lt;/keyword&gt;&lt;/keywords&gt;&lt;dates&gt;&lt;year&gt;2015&lt;/year&gt;&lt;/dates&gt;&lt;publisher&gt;Ecological Society of America&lt;/publisher&gt;&lt;isbn&gt;1939-9170&lt;/isbn&gt;&lt;urls&gt;&lt;related-urls&gt;&lt;url&gt;http://dx.doi.org/10.1890/14-0171.1&lt;/url&gt;&lt;/related-urls&gt;&lt;/urls&gt;&lt;electronic-resource-num&gt;10.1890/14-0171.1&lt;/electronic-resource-num&gt;&lt;/record&gt;&lt;/Cite&gt;&lt;/EndNote&gt;</w:instrText>
      </w:r>
      <w:r>
        <w:fldChar w:fldCharType="separate"/>
      </w:r>
      <w:r>
        <w:rPr>
          <w:noProof/>
        </w:rPr>
        <w:t>(Evans et al. 2015)</w:t>
      </w:r>
      <w:r>
        <w:fldChar w:fldCharType="end"/>
      </w:r>
      <w:r>
        <w:t xml:space="preserve">, </w:t>
      </w:r>
      <w:r w:rsidR="006E4FE8">
        <w:t xml:space="preserve">so models were constructed </w:t>
      </w:r>
      <w:r w:rsidR="007C5E59">
        <w:t xml:space="preserve">without the </w:t>
      </w:r>
      <w:r w:rsidR="007C5E59">
        <w:lastRenderedPageBreak/>
        <w:t>impervious surface term and with both impervious surface</w:t>
      </w:r>
      <w:r w:rsidR="006E4FE8">
        <w:t xml:space="preserve"> and squared-impervious surface </w:t>
      </w:r>
      <w:r w:rsidR="007C5E59">
        <w:t>terms</w:t>
      </w:r>
      <w:r w:rsidR="006E4FE8">
        <w:t xml:space="preserve">. </w:t>
      </w:r>
      <w:r w:rsidR="006E4FE8">
        <w:fldChar w:fldCharType="begin"/>
      </w:r>
      <w:r w:rsidR="006E4FE8">
        <w:instrText xml:space="preserve"> ADDIN EN.CITE &lt;EndNote&gt;&lt;Cite AuthorYear="1"&gt;&lt;Author&gt;Evans&lt;/Author&gt;&lt;Year&gt;2015&lt;/Year&gt;&lt;RecNum&gt;151&lt;/RecNum&gt;&lt;DisplayText&gt;Evans et al. (2015)&lt;/DisplayText&gt;&lt;record&gt;&lt;rec-number&gt;151&lt;/rec-number&gt;&lt;foreign-keys&gt;&lt;key app="EN" db-id="w0rpvded3wrzd6eaa2e5vr5df0frpx022svr" timestamp="1490641631"&gt;151&lt;/key&gt;&lt;/foreign-keys&gt;&lt;ref-type name="Journal Article"&gt;17&lt;/ref-type&gt;&lt;contributors&gt;&lt;authors&gt;&lt;author&gt;Evans, Brian S.&lt;/author&gt;&lt;author&gt;Ryder, Thomas B.&lt;/author&gt;&lt;author&gt;Reitsma, Robert&lt;/author&gt;&lt;author&gt;Hurlbert, Allen H.&lt;/author&gt;&lt;author&gt;Marra, Peter P.&lt;/author&gt;&lt;/authors&gt;&lt;/contributors&gt;&lt;titles&gt;&lt;title&gt;Characterizing avian survival along a rural-to-urban land use gradient&lt;/title&gt;&lt;secondary-title&gt;Ecology&lt;/secondary-title&gt;&lt;/titles&gt;&lt;periodical&gt;&lt;full-title&gt;Ecology&lt;/full-title&gt;&lt;/periodical&gt;&lt;pages&gt;1631-1640&lt;/pages&gt;&lt;volume&gt;96&lt;/volume&gt;&lt;number&gt;6&lt;/number&gt;&lt;keywords&gt;&lt;keyword&gt;avian demography&lt;/keyword&gt;&lt;keyword&gt;birds&lt;/keyword&gt;&lt;keyword&gt;citizen science&lt;/keyword&gt;&lt;keyword&gt;land use gradients&lt;/keyword&gt;&lt;keyword&gt;mark–recapture&lt;/keyword&gt;&lt;keyword&gt;Neighborhood Nestwatch&lt;/keyword&gt;&lt;keyword&gt;resource availability&lt;/keyword&gt;&lt;keyword&gt;survival&lt;/keyword&gt;&lt;keyword&gt;top-down vs. bottom-up processes&lt;/keyword&gt;&lt;keyword&gt;urbanization&lt;/keyword&gt;&lt;keyword&gt;Washington, D.C., USA&lt;/keyword&gt;&lt;/keywords&gt;&lt;dates&gt;&lt;year&gt;2015&lt;/year&gt;&lt;/dates&gt;&lt;publisher&gt;Ecological Society of America&lt;/publisher&gt;&lt;isbn&gt;1939-9170&lt;/isbn&gt;&lt;urls&gt;&lt;related-urls&gt;&lt;url&gt;http://dx.doi.org/10.1890/14-0171.1&lt;/url&gt;&lt;/related-urls&gt;&lt;/urls&gt;&lt;electronic-resource-num&gt;10.1890/14-0171.1&lt;/electronic-resource-num&gt;&lt;/record&gt;&lt;/Cite&gt;&lt;/EndNote&gt;</w:instrText>
      </w:r>
      <w:r w:rsidR="006E4FE8">
        <w:fldChar w:fldCharType="separate"/>
      </w:r>
      <w:r w:rsidR="006E4FE8">
        <w:rPr>
          <w:noProof/>
        </w:rPr>
        <w:t>Evans et al. (2015)</w:t>
      </w:r>
      <w:r w:rsidR="006E4FE8">
        <w:fldChar w:fldCharType="end"/>
      </w:r>
      <w:r w:rsidR="006E4FE8">
        <w:t xml:space="preserve"> uncovered a potential urbanization-sex interaction influencing bird survival, so some models also included a sex </w:t>
      </w:r>
      <w:r w:rsidR="006E4FE8">
        <w:rPr>
          <w:rFonts w:cs="Times New Roman"/>
        </w:rPr>
        <w:t>×</w:t>
      </w:r>
      <w:r w:rsidR="006E4FE8">
        <w:t xml:space="preserve"> impervious interaction term.</w:t>
      </w:r>
    </w:p>
    <w:p w:rsidR="00B35F03" w:rsidRDefault="00B35F03" w:rsidP="00FD2B03">
      <w:pPr>
        <w:spacing w:line="480" w:lineRule="auto"/>
      </w:pPr>
      <w:r>
        <w:tab/>
        <w:t xml:space="preserve">Although </w:t>
      </w:r>
      <w:r w:rsidR="005759D9">
        <w:t>in a survival analysis across years it may be appropriate to include a detection and survival variable for year effect, including a parameter for each year of the study would greatly reduce the predictive power of the model to uncover effects of other covariates. Consequently, no year effect variable was included in this analysis.</w:t>
      </w:r>
    </w:p>
    <w:p w:rsidR="00A237F8" w:rsidRDefault="00A237F8" w:rsidP="00FD2B03">
      <w:pPr>
        <w:spacing w:line="480" w:lineRule="auto"/>
      </w:pPr>
      <w:r>
        <w:tab/>
      </w:r>
      <w:r w:rsidR="005A4CE6">
        <w:t xml:space="preserve">Models including cat covariates were divided into two sets: a set including a cat metric derived from transects and a set including a cat metric derived from camera traps. The transect metric was the total number of distinct individual cats seen per transect at a site. The camera metric was the total number of distinct individuals seen per camera deployment at a site. Because cameras were only deployed at a subset (n=48) of the total sites (n=53), I compared a priori models </w:t>
      </w:r>
      <w:r w:rsidR="005759D9">
        <w:t xml:space="preserve">and </w:t>
      </w:r>
      <w:r w:rsidR="005A4CE6">
        <w:t>cat</w:t>
      </w:r>
      <w:r w:rsidR="005759D9">
        <w:t>-transect</w:t>
      </w:r>
      <w:r w:rsidR="005A4CE6">
        <w:t xml:space="preserve"> models separately from a priori models </w:t>
      </w:r>
      <w:r w:rsidR="005759D9">
        <w:t xml:space="preserve">and </w:t>
      </w:r>
      <w:r w:rsidR="005A4CE6">
        <w:t>cat</w:t>
      </w:r>
      <w:r w:rsidR="005759D9">
        <w:t>-camera</w:t>
      </w:r>
      <w:r w:rsidR="005A4CE6">
        <w:t xml:space="preserve"> models. </w:t>
      </w:r>
      <w:r w:rsidR="005759D9">
        <w:t xml:space="preserve">Averaged counts </w:t>
      </w:r>
      <w:r w:rsidR="00F744F6">
        <w:t xml:space="preserve">were used rather than modeled abundance estimates because the cat abundance models included an impervious surface covariate, which would bias </w:t>
      </w:r>
      <w:r w:rsidR="002952D9">
        <w:t xml:space="preserve">survival model estimates. </w:t>
      </w:r>
      <w:r w:rsidR="005A4CE6">
        <w:t>The full set of mod</w:t>
      </w:r>
      <w:r w:rsidR="001D4EE5">
        <w:t xml:space="preserve">els </w:t>
      </w:r>
      <w:r w:rsidR="00520B89">
        <w:t xml:space="preserve">I </w:t>
      </w:r>
      <w:r w:rsidR="0033302C">
        <w:t>compared is shown in Table 5</w:t>
      </w:r>
      <w:r w:rsidR="005A4CE6">
        <w:t>.</w:t>
      </w:r>
    </w:p>
    <w:p w:rsidR="006E4FE8" w:rsidRDefault="006E4FE8" w:rsidP="00FD2B03">
      <w:pPr>
        <w:spacing w:line="480" w:lineRule="auto"/>
      </w:pPr>
    </w:p>
    <w:p w:rsidR="006E4FE8" w:rsidRDefault="006E4FE8" w:rsidP="00FD2B03">
      <w:pPr>
        <w:spacing w:line="480" w:lineRule="auto"/>
      </w:pPr>
    </w:p>
    <w:p w:rsidR="005A4CE6" w:rsidRDefault="005A4CE6" w:rsidP="00FD2B03">
      <w:pPr>
        <w:spacing w:line="480" w:lineRule="auto"/>
      </w:pPr>
    </w:p>
    <w:p w:rsidR="005A4CE6" w:rsidRDefault="005A4CE6" w:rsidP="00FD2B03">
      <w:pPr>
        <w:spacing w:line="480" w:lineRule="auto"/>
      </w:pPr>
    </w:p>
    <w:p w:rsidR="005A4CE6" w:rsidRDefault="005A4CE6" w:rsidP="00FD2B03">
      <w:pPr>
        <w:spacing w:line="480" w:lineRule="auto"/>
      </w:pPr>
    </w:p>
    <w:p w:rsidR="006E4FE8" w:rsidRDefault="006E4FE8" w:rsidP="00FD2B03">
      <w:pPr>
        <w:spacing w:line="480" w:lineRule="auto"/>
      </w:pPr>
    </w:p>
    <w:p w:rsidR="006E4FE8" w:rsidRDefault="0033302C" w:rsidP="006E4FE8">
      <w:pPr>
        <w:spacing w:line="480" w:lineRule="auto"/>
        <w:ind w:left="360" w:hanging="360"/>
      </w:pPr>
      <w:r>
        <w:lastRenderedPageBreak/>
        <w:t>Table 4</w:t>
      </w:r>
      <w:r w:rsidR="006E4FE8">
        <w:t xml:space="preserve">. Variables used in a priori and cat models for </w:t>
      </w:r>
      <w:r w:rsidR="006E4FE8">
        <w:rPr>
          <w:rFonts w:cs="Times New Roman"/>
        </w:rPr>
        <w:t>ϕ</w:t>
      </w:r>
      <w:r w:rsidR="006E4FE8">
        <w:t xml:space="preserve">, apparent survival, and </w:t>
      </w:r>
      <w:r w:rsidR="006E4FE8">
        <w:rPr>
          <w:i/>
        </w:rPr>
        <w:t>p</w:t>
      </w:r>
      <w:r w:rsidR="006E4FE8">
        <w:t>, probability that an individual in the survey area is detected.</w:t>
      </w:r>
      <w:r w:rsidR="00A237F8">
        <w:t xml:space="preserve"> Cat metric was either average individuals counted by transect or average individuals counted in camera images by deployment.</w:t>
      </w:r>
    </w:p>
    <w:tbl>
      <w:tblPr>
        <w:tblStyle w:val="TableGrid"/>
        <w:tblW w:w="9450" w:type="dxa"/>
        <w:tblInd w:w="-5" w:type="dxa"/>
        <w:tblBorders>
          <w:top w:val="double" w:sz="4"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8"/>
        <w:gridCol w:w="1252"/>
        <w:gridCol w:w="5760"/>
        <w:gridCol w:w="1260"/>
      </w:tblGrid>
      <w:tr w:rsidR="00A237F8" w:rsidTr="00A237F8">
        <w:trPr>
          <w:trHeight w:val="404"/>
        </w:trPr>
        <w:tc>
          <w:tcPr>
            <w:tcW w:w="1178" w:type="dxa"/>
            <w:tcBorders>
              <w:bottom w:val="single" w:sz="4" w:space="0" w:color="auto"/>
            </w:tcBorders>
            <w:vAlign w:val="center"/>
          </w:tcPr>
          <w:p w:rsidR="006E4FE8" w:rsidRDefault="006E4FE8" w:rsidP="006E4FE8">
            <w:r>
              <w:t>Model set</w:t>
            </w:r>
          </w:p>
        </w:tc>
        <w:tc>
          <w:tcPr>
            <w:tcW w:w="1252" w:type="dxa"/>
            <w:tcBorders>
              <w:bottom w:val="single" w:sz="4" w:space="0" w:color="auto"/>
            </w:tcBorders>
            <w:vAlign w:val="center"/>
          </w:tcPr>
          <w:p w:rsidR="006E4FE8" w:rsidRDefault="006E4FE8" w:rsidP="006E4FE8">
            <w:r>
              <w:t>Variable</w:t>
            </w:r>
          </w:p>
        </w:tc>
        <w:tc>
          <w:tcPr>
            <w:tcW w:w="5760" w:type="dxa"/>
            <w:tcBorders>
              <w:bottom w:val="single" w:sz="4" w:space="0" w:color="auto"/>
            </w:tcBorders>
            <w:vAlign w:val="center"/>
          </w:tcPr>
          <w:p w:rsidR="006E4FE8" w:rsidRDefault="006E4FE8" w:rsidP="006E4FE8">
            <w:r>
              <w:t>Description</w:t>
            </w:r>
          </w:p>
        </w:tc>
        <w:tc>
          <w:tcPr>
            <w:tcW w:w="1260" w:type="dxa"/>
            <w:tcBorders>
              <w:bottom w:val="single" w:sz="4" w:space="0" w:color="auto"/>
            </w:tcBorders>
            <w:vAlign w:val="center"/>
          </w:tcPr>
          <w:p w:rsidR="006E4FE8" w:rsidRDefault="006E4FE8" w:rsidP="006E4FE8">
            <w:r>
              <w:t>Parameter</w:t>
            </w:r>
          </w:p>
        </w:tc>
      </w:tr>
      <w:tr w:rsidR="00A237F8" w:rsidTr="0033302C">
        <w:trPr>
          <w:trHeight w:val="301"/>
        </w:trPr>
        <w:tc>
          <w:tcPr>
            <w:tcW w:w="1178" w:type="dxa"/>
            <w:tcBorders>
              <w:top w:val="single" w:sz="4" w:space="0" w:color="auto"/>
            </w:tcBorders>
            <w:vAlign w:val="center"/>
          </w:tcPr>
          <w:p w:rsidR="006E4FE8" w:rsidRDefault="006E4FE8" w:rsidP="006E4FE8">
            <w:r>
              <w:t>a priori</w:t>
            </w:r>
          </w:p>
        </w:tc>
        <w:tc>
          <w:tcPr>
            <w:tcW w:w="1252" w:type="dxa"/>
            <w:tcBorders>
              <w:top w:val="single" w:sz="4" w:space="0" w:color="auto"/>
            </w:tcBorders>
            <w:vAlign w:val="center"/>
          </w:tcPr>
          <w:p w:rsidR="006E4FE8" w:rsidRDefault="006E4FE8" w:rsidP="006E4FE8">
            <w:r>
              <w:t>sex</w:t>
            </w:r>
          </w:p>
        </w:tc>
        <w:tc>
          <w:tcPr>
            <w:tcW w:w="5760" w:type="dxa"/>
            <w:tcBorders>
              <w:top w:val="single" w:sz="4" w:space="0" w:color="auto"/>
            </w:tcBorders>
            <w:vAlign w:val="center"/>
          </w:tcPr>
          <w:p w:rsidR="006E4FE8" w:rsidRDefault="008F51A8" w:rsidP="006E4FE8">
            <w:r>
              <w:t>Sex (male/female)</w:t>
            </w:r>
          </w:p>
        </w:tc>
        <w:tc>
          <w:tcPr>
            <w:tcW w:w="1260" w:type="dxa"/>
            <w:tcBorders>
              <w:top w:val="single" w:sz="4" w:space="0" w:color="auto"/>
            </w:tcBorders>
            <w:vAlign w:val="center"/>
          </w:tcPr>
          <w:p w:rsidR="006E4FE8" w:rsidRPr="008F51A8" w:rsidRDefault="00A237F8" w:rsidP="0033302C">
            <w:pPr>
              <w:jc w:val="center"/>
              <w:rPr>
                <w:i/>
              </w:rPr>
            </w:pPr>
            <w:r>
              <w:rPr>
                <w:rFonts w:cs="Times New Roman"/>
              </w:rPr>
              <w:t>ϕ</w:t>
            </w:r>
            <w:r>
              <w:t xml:space="preserve">, </w:t>
            </w:r>
            <w:r w:rsidR="008F51A8">
              <w:rPr>
                <w:i/>
              </w:rPr>
              <w:t>p</w:t>
            </w:r>
          </w:p>
        </w:tc>
      </w:tr>
      <w:tr w:rsidR="00A237F8" w:rsidTr="0033302C">
        <w:trPr>
          <w:trHeight w:val="290"/>
        </w:trPr>
        <w:tc>
          <w:tcPr>
            <w:tcW w:w="1178" w:type="dxa"/>
            <w:vAlign w:val="center"/>
          </w:tcPr>
          <w:p w:rsidR="006E4FE8" w:rsidRDefault="006E4FE8" w:rsidP="006E4FE8">
            <w:r>
              <w:t>a priori</w:t>
            </w:r>
          </w:p>
        </w:tc>
        <w:tc>
          <w:tcPr>
            <w:tcW w:w="1252" w:type="dxa"/>
            <w:vAlign w:val="center"/>
          </w:tcPr>
          <w:p w:rsidR="006E4FE8" w:rsidRDefault="006E4FE8" w:rsidP="006E4FE8">
            <w:r>
              <w:t>BCI</w:t>
            </w:r>
          </w:p>
        </w:tc>
        <w:tc>
          <w:tcPr>
            <w:tcW w:w="5760" w:type="dxa"/>
            <w:vAlign w:val="center"/>
          </w:tcPr>
          <w:p w:rsidR="006E4FE8" w:rsidRDefault="008F51A8" w:rsidP="006E4FE8">
            <w:r>
              <w:t>Scaled body condition measure</w:t>
            </w:r>
          </w:p>
        </w:tc>
        <w:tc>
          <w:tcPr>
            <w:tcW w:w="1260" w:type="dxa"/>
            <w:vAlign w:val="center"/>
          </w:tcPr>
          <w:p w:rsidR="006E4FE8" w:rsidRDefault="008F51A8" w:rsidP="0033302C">
            <w:pPr>
              <w:jc w:val="center"/>
            </w:pPr>
            <w:r>
              <w:rPr>
                <w:rFonts w:cs="Times New Roman"/>
              </w:rPr>
              <w:t>ϕ</w:t>
            </w:r>
          </w:p>
        </w:tc>
      </w:tr>
      <w:tr w:rsidR="00A237F8" w:rsidTr="0033302C">
        <w:trPr>
          <w:trHeight w:val="301"/>
        </w:trPr>
        <w:tc>
          <w:tcPr>
            <w:tcW w:w="1178" w:type="dxa"/>
            <w:vAlign w:val="center"/>
          </w:tcPr>
          <w:p w:rsidR="006E4FE8" w:rsidRDefault="006E4FE8" w:rsidP="006E4FE8">
            <w:r>
              <w:t>a priori</w:t>
            </w:r>
          </w:p>
        </w:tc>
        <w:tc>
          <w:tcPr>
            <w:tcW w:w="1252" w:type="dxa"/>
            <w:vAlign w:val="center"/>
          </w:tcPr>
          <w:p w:rsidR="006E4FE8" w:rsidRDefault="006E4FE8" w:rsidP="006E4FE8">
            <w:r>
              <w:t>imp</w:t>
            </w:r>
          </w:p>
        </w:tc>
        <w:tc>
          <w:tcPr>
            <w:tcW w:w="5760" w:type="dxa"/>
            <w:vAlign w:val="center"/>
          </w:tcPr>
          <w:p w:rsidR="006E4FE8" w:rsidRDefault="008F51A8" w:rsidP="006E4FE8">
            <w:r>
              <w:t>Percent impervious surface in 100m-radius to site</w:t>
            </w:r>
          </w:p>
        </w:tc>
        <w:tc>
          <w:tcPr>
            <w:tcW w:w="1260" w:type="dxa"/>
            <w:vAlign w:val="center"/>
          </w:tcPr>
          <w:p w:rsidR="006E4FE8" w:rsidRDefault="008F51A8" w:rsidP="0033302C">
            <w:pPr>
              <w:jc w:val="center"/>
            </w:pPr>
            <w:r>
              <w:rPr>
                <w:rFonts w:cs="Times New Roman"/>
              </w:rPr>
              <w:t>ϕ</w:t>
            </w:r>
          </w:p>
        </w:tc>
      </w:tr>
      <w:tr w:rsidR="00A237F8" w:rsidTr="0033302C">
        <w:trPr>
          <w:trHeight w:val="301"/>
        </w:trPr>
        <w:tc>
          <w:tcPr>
            <w:tcW w:w="1178" w:type="dxa"/>
            <w:vAlign w:val="center"/>
          </w:tcPr>
          <w:p w:rsidR="006E4FE8" w:rsidRDefault="008F51A8" w:rsidP="006E4FE8">
            <w:r>
              <w:t>a priori</w:t>
            </w:r>
          </w:p>
        </w:tc>
        <w:tc>
          <w:tcPr>
            <w:tcW w:w="1252" w:type="dxa"/>
            <w:vAlign w:val="center"/>
          </w:tcPr>
          <w:p w:rsidR="006E4FE8" w:rsidRPr="006E4FE8" w:rsidRDefault="006E4FE8" w:rsidP="006E4FE8">
            <w:pPr>
              <w:rPr>
                <w:vertAlign w:val="superscript"/>
              </w:rPr>
            </w:pPr>
            <w:r>
              <w:t>imp</w:t>
            </w:r>
            <w:r>
              <w:rPr>
                <w:vertAlign w:val="superscript"/>
              </w:rPr>
              <w:t>2</w:t>
            </w:r>
          </w:p>
        </w:tc>
        <w:tc>
          <w:tcPr>
            <w:tcW w:w="5760" w:type="dxa"/>
            <w:vAlign w:val="center"/>
          </w:tcPr>
          <w:p w:rsidR="006E4FE8" w:rsidRDefault="008F51A8" w:rsidP="006E4FE8">
            <w:r>
              <w:t>Percent impervious surface, quadratic form</w:t>
            </w:r>
          </w:p>
        </w:tc>
        <w:tc>
          <w:tcPr>
            <w:tcW w:w="1260" w:type="dxa"/>
            <w:vAlign w:val="center"/>
          </w:tcPr>
          <w:p w:rsidR="006E4FE8" w:rsidRDefault="008F51A8" w:rsidP="0033302C">
            <w:pPr>
              <w:jc w:val="center"/>
            </w:pPr>
            <w:r>
              <w:rPr>
                <w:rFonts w:cs="Times New Roman"/>
              </w:rPr>
              <w:t>ϕ</w:t>
            </w:r>
          </w:p>
        </w:tc>
      </w:tr>
      <w:tr w:rsidR="00A237F8" w:rsidTr="0033302C">
        <w:trPr>
          <w:trHeight w:val="290"/>
        </w:trPr>
        <w:tc>
          <w:tcPr>
            <w:tcW w:w="1178" w:type="dxa"/>
            <w:vAlign w:val="center"/>
          </w:tcPr>
          <w:p w:rsidR="006E4FE8" w:rsidRDefault="008F51A8" w:rsidP="006E4FE8">
            <w:r>
              <w:t>a priori</w:t>
            </w:r>
          </w:p>
        </w:tc>
        <w:tc>
          <w:tcPr>
            <w:tcW w:w="1252" w:type="dxa"/>
            <w:vAlign w:val="center"/>
          </w:tcPr>
          <w:p w:rsidR="006E4FE8" w:rsidRDefault="006E4FE8" w:rsidP="006E4FE8">
            <w:r>
              <w:t xml:space="preserve">sex </w:t>
            </w:r>
            <w:r>
              <w:rPr>
                <w:rFonts w:cs="Times New Roman"/>
              </w:rPr>
              <w:t>×</w:t>
            </w:r>
            <w:r>
              <w:t xml:space="preserve"> BCI</w:t>
            </w:r>
          </w:p>
        </w:tc>
        <w:tc>
          <w:tcPr>
            <w:tcW w:w="5760" w:type="dxa"/>
            <w:vAlign w:val="center"/>
          </w:tcPr>
          <w:p w:rsidR="006E4FE8" w:rsidRDefault="00A237F8" w:rsidP="006E4FE8">
            <w:r>
              <w:t>Interaction</w:t>
            </w:r>
            <w:r w:rsidR="008F51A8">
              <w:t xml:space="preserve"> between sex and body condition</w:t>
            </w:r>
          </w:p>
        </w:tc>
        <w:tc>
          <w:tcPr>
            <w:tcW w:w="1260" w:type="dxa"/>
            <w:vAlign w:val="center"/>
          </w:tcPr>
          <w:p w:rsidR="006E4FE8" w:rsidRDefault="008F51A8" w:rsidP="0033302C">
            <w:pPr>
              <w:jc w:val="center"/>
            </w:pPr>
            <w:r>
              <w:rPr>
                <w:rFonts w:cs="Times New Roman"/>
              </w:rPr>
              <w:t>ϕ</w:t>
            </w:r>
          </w:p>
        </w:tc>
      </w:tr>
      <w:tr w:rsidR="00A237F8" w:rsidTr="0033302C">
        <w:trPr>
          <w:trHeight w:val="301"/>
        </w:trPr>
        <w:tc>
          <w:tcPr>
            <w:tcW w:w="1178" w:type="dxa"/>
            <w:vAlign w:val="center"/>
          </w:tcPr>
          <w:p w:rsidR="006E4FE8" w:rsidRDefault="008F51A8" w:rsidP="006E4FE8">
            <w:r>
              <w:t>a priori</w:t>
            </w:r>
          </w:p>
        </w:tc>
        <w:tc>
          <w:tcPr>
            <w:tcW w:w="1252" w:type="dxa"/>
            <w:vAlign w:val="center"/>
          </w:tcPr>
          <w:p w:rsidR="006E4FE8" w:rsidRDefault="006E4FE8" w:rsidP="006E4FE8">
            <w:r>
              <w:t xml:space="preserve">sex </w:t>
            </w:r>
            <w:r>
              <w:rPr>
                <w:rFonts w:cs="Times New Roman"/>
              </w:rPr>
              <w:t>×</w:t>
            </w:r>
            <w:r w:rsidR="008F51A8">
              <w:t xml:space="preserve"> imp</w:t>
            </w:r>
          </w:p>
        </w:tc>
        <w:tc>
          <w:tcPr>
            <w:tcW w:w="5760" w:type="dxa"/>
            <w:vAlign w:val="center"/>
          </w:tcPr>
          <w:p w:rsidR="006E4FE8" w:rsidRDefault="00A237F8" w:rsidP="006E4FE8">
            <w:r>
              <w:t xml:space="preserve">Interaction </w:t>
            </w:r>
            <w:r w:rsidR="008F51A8">
              <w:t>between sex and impervious surface</w:t>
            </w:r>
          </w:p>
        </w:tc>
        <w:tc>
          <w:tcPr>
            <w:tcW w:w="1260" w:type="dxa"/>
            <w:vAlign w:val="center"/>
          </w:tcPr>
          <w:p w:rsidR="006E4FE8" w:rsidRDefault="008F51A8" w:rsidP="0033302C">
            <w:pPr>
              <w:jc w:val="center"/>
            </w:pPr>
            <w:r>
              <w:rPr>
                <w:rFonts w:cs="Times New Roman"/>
              </w:rPr>
              <w:t>ϕ</w:t>
            </w:r>
          </w:p>
        </w:tc>
      </w:tr>
      <w:tr w:rsidR="008F51A8" w:rsidTr="0033302C">
        <w:trPr>
          <w:trHeight w:val="301"/>
        </w:trPr>
        <w:tc>
          <w:tcPr>
            <w:tcW w:w="1178" w:type="dxa"/>
            <w:vAlign w:val="center"/>
          </w:tcPr>
          <w:p w:rsidR="008F51A8" w:rsidRDefault="008F51A8" w:rsidP="006E4FE8">
            <w:r>
              <w:t>Cat</w:t>
            </w:r>
          </w:p>
        </w:tc>
        <w:tc>
          <w:tcPr>
            <w:tcW w:w="1252" w:type="dxa"/>
            <w:vAlign w:val="center"/>
          </w:tcPr>
          <w:p w:rsidR="00A237F8" w:rsidRPr="00A237F8" w:rsidRDefault="008F51A8" w:rsidP="006E4FE8">
            <w:pPr>
              <w:rPr>
                <w:vertAlign w:val="superscript"/>
              </w:rPr>
            </w:pPr>
            <w:r>
              <w:t>cat</w:t>
            </w:r>
          </w:p>
        </w:tc>
        <w:tc>
          <w:tcPr>
            <w:tcW w:w="5760" w:type="dxa"/>
            <w:vAlign w:val="center"/>
          </w:tcPr>
          <w:p w:rsidR="008F51A8" w:rsidRDefault="008F51A8" w:rsidP="006E4FE8">
            <w:r>
              <w:t>Cat metric</w:t>
            </w:r>
          </w:p>
        </w:tc>
        <w:tc>
          <w:tcPr>
            <w:tcW w:w="1260" w:type="dxa"/>
            <w:vAlign w:val="center"/>
          </w:tcPr>
          <w:p w:rsidR="008F51A8" w:rsidRDefault="008F51A8" w:rsidP="0033302C">
            <w:pPr>
              <w:jc w:val="center"/>
            </w:pPr>
            <w:r>
              <w:rPr>
                <w:rFonts w:cs="Times New Roman"/>
              </w:rPr>
              <w:t>ϕ</w:t>
            </w:r>
          </w:p>
        </w:tc>
      </w:tr>
      <w:tr w:rsidR="008F51A8" w:rsidTr="0033302C">
        <w:trPr>
          <w:trHeight w:val="301"/>
        </w:trPr>
        <w:tc>
          <w:tcPr>
            <w:tcW w:w="1178" w:type="dxa"/>
            <w:vAlign w:val="center"/>
          </w:tcPr>
          <w:p w:rsidR="008F51A8" w:rsidRDefault="008F51A8" w:rsidP="006E4FE8">
            <w:r>
              <w:t>Cat</w:t>
            </w:r>
          </w:p>
        </w:tc>
        <w:tc>
          <w:tcPr>
            <w:tcW w:w="1252" w:type="dxa"/>
            <w:vAlign w:val="center"/>
          </w:tcPr>
          <w:p w:rsidR="008F51A8" w:rsidRDefault="008F51A8" w:rsidP="006E4FE8">
            <w:r>
              <w:t xml:space="preserve">cat </w:t>
            </w:r>
            <w:r>
              <w:rPr>
                <w:rFonts w:cs="Times New Roman"/>
              </w:rPr>
              <w:t>×</w:t>
            </w:r>
            <w:r>
              <w:t xml:space="preserve"> sex</w:t>
            </w:r>
          </w:p>
        </w:tc>
        <w:tc>
          <w:tcPr>
            <w:tcW w:w="5760" w:type="dxa"/>
            <w:vAlign w:val="center"/>
          </w:tcPr>
          <w:p w:rsidR="008F51A8" w:rsidRDefault="00A237F8" w:rsidP="006E4FE8">
            <w:r>
              <w:t>Interaction between cat metric and sex</w:t>
            </w:r>
          </w:p>
        </w:tc>
        <w:tc>
          <w:tcPr>
            <w:tcW w:w="1260" w:type="dxa"/>
            <w:vAlign w:val="center"/>
          </w:tcPr>
          <w:p w:rsidR="008F51A8" w:rsidRDefault="008F51A8" w:rsidP="0033302C">
            <w:pPr>
              <w:jc w:val="center"/>
            </w:pPr>
            <w:r>
              <w:rPr>
                <w:rFonts w:cs="Times New Roman"/>
              </w:rPr>
              <w:t>ϕ</w:t>
            </w:r>
          </w:p>
        </w:tc>
      </w:tr>
      <w:tr w:rsidR="008F51A8" w:rsidTr="0033302C">
        <w:trPr>
          <w:trHeight w:val="301"/>
        </w:trPr>
        <w:tc>
          <w:tcPr>
            <w:tcW w:w="1178" w:type="dxa"/>
            <w:vAlign w:val="center"/>
          </w:tcPr>
          <w:p w:rsidR="008F51A8" w:rsidRDefault="008F51A8" w:rsidP="006E4FE8">
            <w:r>
              <w:t>Cat</w:t>
            </w:r>
          </w:p>
        </w:tc>
        <w:tc>
          <w:tcPr>
            <w:tcW w:w="1252" w:type="dxa"/>
            <w:vAlign w:val="center"/>
          </w:tcPr>
          <w:p w:rsidR="008F51A8" w:rsidRDefault="008F51A8" w:rsidP="006E4FE8">
            <w:r>
              <w:t xml:space="preserve">cat </w:t>
            </w:r>
            <w:r>
              <w:rPr>
                <w:rFonts w:cs="Times New Roman"/>
              </w:rPr>
              <w:t>×</w:t>
            </w:r>
            <w:r>
              <w:t xml:space="preserve"> BCI</w:t>
            </w:r>
          </w:p>
        </w:tc>
        <w:tc>
          <w:tcPr>
            <w:tcW w:w="5760" w:type="dxa"/>
            <w:vAlign w:val="center"/>
          </w:tcPr>
          <w:p w:rsidR="008F51A8" w:rsidRDefault="00A237F8" w:rsidP="006E4FE8">
            <w:r>
              <w:t>Interaction between cat metric and BCI</w:t>
            </w:r>
          </w:p>
        </w:tc>
        <w:tc>
          <w:tcPr>
            <w:tcW w:w="1260" w:type="dxa"/>
            <w:vAlign w:val="center"/>
          </w:tcPr>
          <w:p w:rsidR="008F51A8" w:rsidRDefault="008F51A8" w:rsidP="0033302C">
            <w:pPr>
              <w:jc w:val="center"/>
            </w:pPr>
            <w:r>
              <w:rPr>
                <w:rFonts w:cs="Times New Roman"/>
              </w:rPr>
              <w:t>ϕ</w:t>
            </w:r>
          </w:p>
        </w:tc>
      </w:tr>
      <w:tr w:rsidR="008F51A8" w:rsidTr="0033302C">
        <w:trPr>
          <w:trHeight w:val="301"/>
        </w:trPr>
        <w:tc>
          <w:tcPr>
            <w:tcW w:w="1178" w:type="dxa"/>
            <w:vAlign w:val="center"/>
          </w:tcPr>
          <w:p w:rsidR="008F51A8" w:rsidRDefault="008F51A8" w:rsidP="006E4FE8">
            <w:r>
              <w:t>Cat</w:t>
            </w:r>
          </w:p>
        </w:tc>
        <w:tc>
          <w:tcPr>
            <w:tcW w:w="1252" w:type="dxa"/>
            <w:vAlign w:val="center"/>
          </w:tcPr>
          <w:p w:rsidR="008F51A8" w:rsidRDefault="008F51A8" w:rsidP="006E4FE8">
            <w:r>
              <w:t xml:space="preserve">cat </w:t>
            </w:r>
            <w:r>
              <w:rPr>
                <w:rFonts w:cs="Times New Roman"/>
              </w:rPr>
              <w:t>×</w:t>
            </w:r>
            <w:r>
              <w:t xml:space="preserve"> imp</w:t>
            </w:r>
          </w:p>
        </w:tc>
        <w:tc>
          <w:tcPr>
            <w:tcW w:w="5760" w:type="dxa"/>
            <w:vAlign w:val="center"/>
          </w:tcPr>
          <w:p w:rsidR="008F51A8" w:rsidRDefault="00A237F8" w:rsidP="006E4FE8">
            <w:r>
              <w:t>Interaction between cat metric and impervious surface</w:t>
            </w:r>
          </w:p>
        </w:tc>
        <w:tc>
          <w:tcPr>
            <w:tcW w:w="1260" w:type="dxa"/>
            <w:vAlign w:val="center"/>
          </w:tcPr>
          <w:p w:rsidR="008F51A8" w:rsidRDefault="008F51A8" w:rsidP="0033302C">
            <w:pPr>
              <w:jc w:val="center"/>
            </w:pPr>
            <w:r>
              <w:rPr>
                <w:rFonts w:cs="Times New Roman"/>
              </w:rPr>
              <w:t>ϕ</w:t>
            </w:r>
          </w:p>
        </w:tc>
      </w:tr>
    </w:tbl>
    <w:p w:rsidR="006E4FE8" w:rsidRDefault="006E4FE8" w:rsidP="006E4FE8">
      <w:pPr>
        <w:spacing w:line="480" w:lineRule="auto"/>
        <w:ind w:left="360" w:hanging="360"/>
      </w:pPr>
    </w:p>
    <w:p w:rsidR="006E4FE8" w:rsidRDefault="006E4FE8" w:rsidP="006E4FE8">
      <w:pPr>
        <w:spacing w:line="480" w:lineRule="auto"/>
        <w:ind w:left="360" w:hanging="360"/>
      </w:pPr>
    </w:p>
    <w:p w:rsidR="005A4CE6" w:rsidRDefault="0033302C" w:rsidP="006E4FE8">
      <w:pPr>
        <w:spacing w:line="480" w:lineRule="auto"/>
        <w:ind w:left="360" w:hanging="360"/>
      </w:pPr>
      <w:r>
        <w:t>Table 5</w:t>
      </w:r>
      <w:r w:rsidR="00F744F6">
        <w:t xml:space="preserve">. A priori and cat </w:t>
      </w:r>
      <w:r w:rsidR="00906B25">
        <w:t xml:space="preserve">candidate models </w:t>
      </w:r>
      <w:r w:rsidR="00C8598C">
        <w:t>constructed</w:t>
      </w:r>
      <w:bookmarkStart w:id="0" w:name="_GoBack"/>
      <w:bookmarkEnd w:id="0"/>
      <w:r w:rsidR="00906B25">
        <w:t xml:space="preserve"> to </w:t>
      </w:r>
      <w:r w:rsidR="00F744F6">
        <w:t xml:space="preserve">examine the influence of cat abundance on </w:t>
      </w:r>
      <w:r w:rsidR="002952D9">
        <w:t>bird survival</w:t>
      </w:r>
    </w:p>
    <w:tbl>
      <w:tblPr>
        <w:tblStyle w:val="TableGrid"/>
        <w:tblW w:w="9528" w:type="dxa"/>
        <w:tblInd w:w="-5" w:type="dxa"/>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506"/>
        <w:gridCol w:w="1179"/>
      </w:tblGrid>
      <w:tr w:rsidR="00F24010" w:rsidTr="00906B25">
        <w:trPr>
          <w:trHeight w:val="442"/>
        </w:trPr>
        <w:tc>
          <w:tcPr>
            <w:tcW w:w="838" w:type="dxa"/>
            <w:tcBorders>
              <w:bottom w:val="single" w:sz="4" w:space="0" w:color="auto"/>
            </w:tcBorders>
            <w:vAlign w:val="center"/>
          </w:tcPr>
          <w:p w:rsidR="002952D9" w:rsidRDefault="00F24010" w:rsidP="00906B25">
            <w:pPr>
              <w:jc w:val="center"/>
            </w:pPr>
            <w:r>
              <w:t>Model</w:t>
            </w:r>
            <w:r w:rsidR="00906B25">
              <w:t xml:space="preserve"> ID</w:t>
            </w:r>
          </w:p>
        </w:tc>
        <w:tc>
          <w:tcPr>
            <w:tcW w:w="7511" w:type="dxa"/>
            <w:tcBorders>
              <w:bottom w:val="single" w:sz="4" w:space="0" w:color="auto"/>
            </w:tcBorders>
            <w:vAlign w:val="center"/>
          </w:tcPr>
          <w:p w:rsidR="002952D9" w:rsidRDefault="002952D9" w:rsidP="00906B25">
            <w:pPr>
              <w:jc w:val="center"/>
            </w:pPr>
            <w:r>
              <w:rPr>
                <w:rFonts w:cs="Times New Roman"/>
              </w:rPr>
              <w:t>ϕ formula</w:t>
            </w:r>
          </w:p>
        </w:tc>
        <w:tc>
          <w:tcPr>
            <w:tcW w:w="1179" w:type="dxa"/>
            <w:tcBorders>
              <w:bottom w:val="single" w:sz="4" w:space="0" w:color="auto"/>
            </w:tcBorders>
            <w:vAlign w:val="center"/>
          </w:tcPr>
          <w:p w:rsidR="002952D9" w:rsidRPr="002952D9" w:rsidRDefault="002952D9" w:rsidP="00906B25">
            <w:pPr>
              <w:jc w:val="center"/>
            </w:pPr>
            <w:r>
              <w:rPr>
                <w:i/>
              </w:rPr>
              <w:t>p</w:t>
            </w:r>
            <w:r>
              <w:t xml:space="preserve"> formula</w:t>
            </w:r>
          </w:p>
        </w:tc>
      </w:tr>
      <w:tr w:rsidR="00F24010" w:rsidTr="00906B25">
        <w:trPr>
          <w:trHeight w:val="292"/>
        </w:trPr>
        <w:tc>
          <w:tcPr>
            <w:tcW w:w="838" w:type="dxa"/>
            <w:tcBorders>
              <w:top w:val="single" w:sz="4" w:space="0" w:color="auto"/>
            </w:tcBorders>
            <w:vAlign w:val="center"/>
          </w:tcPr>
          <w:p w:rsidR="002952D9" w:rsidRDefault="002952D9" w:rsidP="00906B25">
            <w:pPr>
              <w:jc w:val="center"/>
            </w:pPr>
            <w:r>
              <w:t>1</w:t>
            </w:r>
            <w:r w:rsidR="00520B89">
              <w:t xml:space="preserve"> </w:t>
            </w:r>
          </w:p>
        </w:tc>
        <w:tc>
          <w:tcPr>
            <w:tcW w:w="7511" w:type="dxa"/>
            <w:tcBorders>
              <w:top w:val="single" w:sz="4" w:space="0" w:color="auto"/>
            </w:tcBorders>
            <w:vAlign w:val="center"/>
          </w:tcPr>
          <w:p w:rsidR="002952D9" w:rsidRDefault="00F24010" w:rsidP="00906B25">
            <w:r>
              <w:t>~1</w:t>
            </w:r>
          </w:p>
        </w:tc>
        <w:tc>
          <w:tcPr>
            <w:tcW w:w="1179" w:type="dxa"/>
            <w:tcBorders>
              <w:top w:val="single" w:sz="4" w:space="0" w:color="auto"/>
            </w:tcBorders>
            <w:vAlign w:val="center"/>
          </w:tcPr>
          <w:p w:rsidR="002952D9" w:rsidRDefault="00F24010" w:rsidP="00906B25">
            <w:r>
              <w:t>~sex</w:t>
            </w:r>
          </w:p>
        </w:tc>
      </w:tr>
      <w:tr w:rsidR="00F24010" w:rsidTr="00906B25">
        <w:trPr>
          <w:trHeight w:val="282"/>
        </w:trPr>
        <w:tc>
          <w:tcPr>
            <w:tcW w:w="838" w:type="dxa"/>
            <w:shd w:val="clear" w:color="auto" w:fill="D9D9D9" w:themeFill="background1" w:themeFillShade="D9"/>
            <w:vAlign w:val="center"/>
          </w:tcPr>
          <w:p w:rsidR="002952D9" w:rsidRDefault="002952D9" w:rsidP="00906B25">
            <w:pPr>
              <w:jc w:val="center"/>
            </w:pPr>
            <w:r>
              <w:t>2</w:t>
            </w:r>
          </w:p>
        </w:tc>
        <w:tc>
          <w:tcPr>
            <w:tcW w:w="7511" w:type="dxa"/>
            <w:shd w:val="clear" w:color="auto" w:fill="D9D9D9" w:themeFill="background1" w:themeFillShade="D9"/>
            <w:vAlign w:val="center"/>
          </w:tcPr>
          <w:p w:rsidR="002952D9" w:rsidRDefault="00F24010" w:rsidP="00906B25">
            <w:r>
              <w:t>~sex</w:t>
            </w:r>
          </w:p>
        </w:tc>
        <w:tc>
          <w:tcPr>
            <w:tcW w:w="1179" w:type="dxa"/>
            <w:shd w:val="clear" w:color="auto" w:fill="D9D9D9" w:themeFill="background1" w:themeFillShade="D9"/>
            <w:vAlign w:val="center"/>
          </w:tcPr>
          <w:p w:rsidR="002952D9" w:rsidRDefault="00F24010" w:rsidP="00906B25">
            <w:r>
              <w:t>~sex</w:t>
            </w:r>
          </w:p>
        </w:tc>
      </w:tr>
      <w:tr w:rsidR="00F24010" w:rsidTr="00906B25">
        <w:trPr>
          <w:trHeight w:val="292"/>
        </w:trPr>
        <w:tc>
          <w:tcPr>
            <w:tcW w:w="838" w:type="dxa"/>
            <w:vAlign w:val="center"/>
          </w:tcPr>
          <w:p w:rsidR="002952D9" w:rsidRDefault="002952D9" w:rsidP="00906B25">
            <w:pPr>
              <w:jc w:val="center"/>
            </w:pPr>
            <w:r>
              <w:t>3</w:t>
            </w:r>
          </w:p>
        </w:tc>
        <w:tc>
          <w:tcPr>
            <w:tcW w:w="7511" w:type="dxa"/>
            <w:vAlign w:val="center"/>
          </w:tcPr>
          <w:p w:rsidR="002952D9" w:rsidRDefault="00F24010" w:rsidP="00906B25">
            <w:r>
              <w:t xml:space="preserve">~sex + BCI + sex </w:t>
            </w:r>
            <w:r>
              <w:rPr>
                <w:rFonts w:cs="Times New Roman"/>
              </w:rPr>
              <w:t>×</w:t>
            </w:r>
            <w:r>
              <w:t xml:space="preserve"> BCI</w:t>
            </w:r>
          </w:p>
        </w:tc>
        <w:tc>
          <w:tcPr>
            <w:tcW w:w="1179" w:type="dxa"/>
            <w:vAlign w:val="center"/>
          </w:tcPr>
          <w:p w:rsidR="002952D9" w:rsidRDefault="00F24010" w:rsidP="00906B25">
            <w:r>
              <w:t>~sex</w:t>
            </w:r>
          </w:p>
        </w:tc>
      </w:tr>
      <w:tr w:rsidR="00F24010" w:rsidTr="00906B25">
        <w:trPr>
          <w:trHeight w:val="292"/>
        </w:trPr>
        <w:tc>
          <w:tcPr>
            <w:tcW w:w="838" w:type="dxa"/>
            <w:shd w:val="clear" w:color="auto" w:fill="D9D9D9" w:themeFill="background1" w:themeFillShade="D9"/>
            <w:vAlign w:val="center"/>
          </w:tcPr>
          <w:p w:rsidR="002952D9" w:rsidRDefault="002952D9" w:rsidP="00906B25">
            <w:pPr>
              <w:jc w:val="center"/>
            </w:pPr>
            <w:r>
              <w:t>4</w:t>
            </w:r>
          </w:p>
        </w:tc>
        <w:tc>
          <w:tcPr>
            <w:tcW w:w="7511" w:type="dxa"/>
            <w:shd w:val="clear" w:color="auto" w:fill="D9D9D9" w:themeFill="background1" w:themeFillShade="D9"/>
            <w:vAlign w:val="center"/>
          </w:tcPr>
          <w:p w:rsidR="002952D9" w:rsidRDefault="00F24010" w:rsidP="00906B25">
            <w:r>
              <w:t xml:space="preserve">~sex + BCI + </w:t>
            </w:r>
            <w:r>
              <w:t xml:space="preserve">imp + </w:t>
            </w:r>
            <w:r>
              <w:t xml:space="preserve">sex </w:t>
            </w:r>
            <w:r>
              <w:rPr>
                <w:rFonts w:cs="Times New Roman"/>
              </w:rPr>
              <w:t>×</w:t>
            </w:r>
            <w:r>
              <w:t xml:space="preserve"> BCI</w:t>
            </w:r>
          </w:p>
        </w:tc>
        <w:tc>
          <w:tcPr>
            <w:tcW w:w="1179" w:type="dxa"/>
            <w:shd w:val="clear" w:color="auto" w:fill="D9D9D9" w:themeFill="background1" w:themeFillShade="D9"/>
            <w:vAlign w:val="center"/>
          </w:tcPr>
          <w:p w:rsidR="002952D9" w:rsidRDefault="00F24010" w:rsidP="00906B25">
            <w:r>
              <w:t>~sex</w:t>
            </w:r>
          </w:p>
        </w:tc>
      </w:tr>
      <w:tr w:rsidR="00F24010" w:rsidTr="00906B25">
        <w:trPr>
          <w:trHeight w:val="282"/>
        </w:trPr>
        <w:tc>
          <w:tcPr>
            <w:tcW w:w="838" w:type="dxa"/>
            <w:vAlign w:val="center"/>
          </w:tcPr>
          <w:p w:rsidR="002952D9" w:rsidRDefault="002952D9" w:rsidP="00906B25">
            <w:pPr>
              <w:jc w:val="center"/>
            </w:pPr>
            <w:r>
              <w:t>5</w:t>
            </w:r>
          </w:p>
        </w:tc>
        <w:tc>
          <w:tcPr>
            <w:tcW w:w="7511" w:type="dxa"/>
            <w:vAlign w:val="center"/>
          </w:tcPr>
          <w:p w:rsidR="002952D9" w:rsidRDefault="00F24010" w:rsidP="00906B25">
            <w:r>
              <w:t xml:space="preserve">~sex + BCI + imp </w:t>
            </w:r>
            <w:r>
              <w:t xml:space="preserve">+ </w:t>
            </w:r>
            <w:r>
              <w:t xml:space="preserve">sex </w:t>
            </w:r>
            <w:r>
              <w:rPr>
                <w:rFonts w:cs="Times New Roman"/>
              </w:rPr>
              <w:t>×</w:t>
            </w:r>
            <w:r>
              <w:t xml:space="preserve"> BCI</w:t>
            </w:r>
            <w:r w:rsidR="00906B25">
              <w:t xml:space="preserve"> </w:t>
            </w:r>
            <w:r w:rsidR="00906B25">
              <w:t>+ imp</w:t>
            </w:r>
            <w:r w:rsidR="00906B25">
              <w:rPr>
                <w:vertAlign w:val="superscript"/>
              </w:rPr>
              <w:t>2</w:t>
            </w:r>
          </w:p>
        </w:tc>
        <w:tc>
          <w:tcPr>
            <w:tcW w:w="1179" w:type="dxa"/>
            <w:vAlign w:val="center"/>
          </w:tcPr>
          <w:p w:rsidR="002952D9" w:rsidRDefault="00F24010" w:rsidP="00906B25">
            <w:r>
              <w:t>~sex</w:t>
            </w:r>
          </w:p>
        </w:tc>
      </w:tr>
      <w:tr w:rsidR="00F24010" w:rsidTr="00906B25">
        <w:trPr>
          <w:trHeight w:val="292"/>
        </w:trPr>
        <w:tc>
          <w:tcPr>
            <w:tcW w:w="838" w:type="dxa"/>
            <w:shd w:val="clear" w:color="auto" w:fill="D9D9D9" w:themeFill="background1" w:themeFillShade="D9"/>
            <w:vAlign w:val="center"/>
          </w:tcPr>
          <w:p w:rsidR="002952D9" w:rsidRDefault="002952D9" w:rsidP="00906B25">
            <w:pPr>
              <w:jc w:val="center"/>
            </w:pPr>
            <w:r>
              <w:t>6</w:t>
            </w:r>
          </w:p>
        </w:tc>
        <w:tc>
          <w:tcPr>
            <w:tcW w:w="7511" w:type="dxa"/>
            <w:shd w:val="clear" w:color="auto" w:fill="D9D9D9" w:themeFill="background1" w:themeFillShade="D9"/>
            <w:vAlign w:val="center"/>
          </w:tcPr>
          <w:p w:rsidR="002952D9" w:rsidRDefault="00F24010" w:rsidP="00906B25">
            <w:r>
              <w:t xml:space="preserve">~sex + BCI + imp + sex </w:t>
            </w:r>
            <w:r>
              <w:rPr>
                <w:rFonts w:cs="Times New Roman"/>
              </w:rPr>
              <w:t>×</w:t>
            </w:r>
            <w:r>
              <w:t xml:space="preserve"> BCI</w:t>
            </w:r>
            <w:r>
              <w:t xml:space="preserve"> + </w:t>
            </w:r>
            <w:r>
              <w:t xml:space="preserve">sex </w:t>
            </w:r>
            <w:r>
              <w:rPr>
                <w:rFonts w:cs="Times New Roman"/>
              </w:rPr>
              <w:t>×</w:t>
            </w:r>
            <w:r>
              <w:t xml:space="preserve"> imp</w:t>
            </w:r>
          </w:p>
        </w:tc>
        <w:tc>
          <w:tcPr>
            <w:tcW w:w="1179" w:type="dxa"/>
            <w:shd w:val="clear" w:color="auto" w:fill="D9D9D9" w:themeFill="background1" w:themeFillShade="D9"/>
            <w:vAlign w:val="center"/>
          </w:tcPr>
          <w:p w:rsidR="002952D9" w:rsidRDefault="00F24010" w:rsidP="00906B25">
            <w:r>
              <w:t>~sex</w:t>
            </w:r>
          </w:p>
        </w:tc>
      </w:tr>
      <w:tr w:rsidR="00F24010" w:rsidTr="00906B25">
        <w:trPr>
          <w:trHeight w:val="282"/>
        </w:trPr>
        <w:tc>
          <w:tcPr>
            <w:tcW w:w="838" w:type="dxa"/>
            <w:vAlign w:val="center"/>
          </w:tcPr>
          <w:p w:rsidR="00F24010" w:rsidRDefault="00F24010" w:rsidP="00906B25">
            <w:pPr>
              <w:jc w:val="center"/>
            </w:pPr>
            <w:r>
              <w:t>7</w:t>
            </w:r>
          </w:p>
        </w:tc>
        <w:tc>
          <w:tcPr>
            <w:tcW w:w="7511" w:type="dxa"/>
            <w:vAlign w:val="center"/>
          </w:tcPr>
          <w:p w:rsidR="00F24010" w:rsidRDefault="00F24010" w:rsidP="00906B25">
            <w:r>
              <w:t>~sex + BCI + imp</w:t>
            </w:r>
            <w:r>
              <w:t xml:space="preserve"> + </w:t>
            </w:r>
            <w:r>
              <w:t xml:space="preserve">sex </w:t>
            </w:r>
            <w:r>
              <w:rPr>
                <w:rFonts w:cs="Times New Roman"/>
              </w:rPr>
              <w:t>×</w:t>
            </w:r>
            <w:r>
              <w:t xml:space="preserve"> BCI + sex </w:t>
            </w:r>
            <w:r>
              <w:rPr>
                <w:rFonts w:cs="Times New Roman"/>
              </w:rPr>
              <w:t>×</w:t>
            </w:r>
            <w:r>
              <w:t xml:space="preserve"> imp</w:t>
            </w:r>
            <w:r w:rsidR="00906B25">
              <w:t xml:space="preserve"> + imp</w:t>
            </w:r>
            <w:r w:rsidR="00906B25">
              <w:rPr>
                <w:vertAlign w:val="superscript"/>
              </w:rPr>
              <w:t>2</w:t>
            </w:r>
          </w:p>
        </w:tc>
        <w:tc>
          <w:tcPr>
            <w:tcW w:w="1179" w:type="dxa"/>
            <w:vAlign w:val="center"/>
          </w:tcPr>
          <w:p w:rsidR="00F24010" w:rsidRDefault="00F24010" w:rsidP="00906B25">
            <w:r>
              <w:t>~sex</w:t>
            </w:r>
          </w:p>
        </w:tc>
      </w:tr>
      <w:tr w:rsidR="00F24010" w:rsidTr="00906B25">
        <w:trPr>
          <w:trHeight w:val="292"/>
        </w:trPr>
        <w:tc>
          <w:tcPr>
            <w:tcW w:w="838" w:type="dxa"/>
            <w:shd w:val="clear" w:color="auto" w:fill="D9D9D9" w:themeFill="background1" w:themeFillShade="D9"/>
            <w:vAlign w:val="center"/>
          </w:tcPr>
          <w:p w:rsidR="00F24010" w:rsidRDefault="00F24010" w:rsidP="00906B25">
            <w:pPr>
              <w:jc w:val="center"/>
            </w:pPr>
            <w:r>
              <w:t>8</w:t>
            </w:r>
          </w:p>
        </w:tc>
        <w:tc>
          <w:tcPr>
            <w:tcW w:w="7511" w:type="dxa"/>
            <w:shd w:val="clear" w:color="auto" w:fill="D9D9D9" w:themeFill="background1" w:themeFillShade="D9"/>
            <w:vAlign w:val="center"/>
          </w:tcPr>
          <w:p w:rsidR="00F24010" w:rsidRDefault="00F24010" w:rsidP="00906B25">
            <w:r>
              <w:t xml:space="preserve">~sex + cat + </w:t>
            </w:r>
            <w:r>
              <w:t xml:space="preserve">sex </w:t>
            </w:r>
            <w:r>
              <w:rPr>
                <w:rFonts w:cs="Times New Roman"/>
              </w:rPr>
              <w:t>×</w:t>
            </w:r>
            <w:r>
              <w:t xml:space="preserve"> cat</w:t>
            </w:r>
          </w:p>
        </w:tc>
        <w:tc>
          <w:tcPr>
            <w:tcW w:w="1179" w:type="dxa"/>
            <w:shd w:val="clear" w:color="auto" w:fill="D9D9D9" w:themeFill="background1" w:themeFillShade="D9"/>
            <w:vAlign w:val="center"/>
          </w:tcPr>
          <w:p w:rsidR="00F24010" w:rsidRDefault="00F24010" w:rsidP="00906B25">
            <w:r>
              <w:t>~sex</w:t>
            </w:r>
          </w:p>
        </w:tc>
      </w:tr>
      <w:tr w:rsidR="00F24010" w:rsidTr="00906B25">
        <w:trPr>
          <w:trHeight w:val="292"/>
        </w:trPr>
        <w:tc>
          <w:tcPr>
            <w:tcW w:w="838" w:type="dxa"/>
            <w:vAlign w:val="center"/>
          </w:tcPr>
          <w:p w:rsidR="00F24010" w:rsidRDefault="00F24010" w:rsidP="00906B25">
            <w:pPr>
              <w:jc w:val="center"/>
            </w:pPr>
            <w:r>
              <w:t>9</w:t>
            </w:r>
          </w:p>
        </w:tc>
        <w:tc>
          <w:tcPr>
            <w:tcW w:w="7511" w:type="dxa"/>
            <w:vAlign w:val="center"/>
          </w:tcPr>
          <w:p w:rsidR="00F24010" w:rsidRDefault="00F24010" w:rsidP="00906B25">
            <w:r>
              <w:t xml:space="preserve">~sex + BCI + </w:t>
            </w:r>
            <w:r>
              <w:t xml:space="preserve">cat + </w:t>
            </w:r>
            <w:r>
              <w:t xml:space="preserve">sex </w:t>
            </w:r>
            <w:r>
              <w:rPr>
                <w:rFonts w:cs="Times New Roman"/>
              </w:rPr>
              <w:t>×</w:t>
            </w:r>
            <w:r>
              <w:t xml:space="preserve"> BCI</w:t>
            </w:r>
            <w:r>
              <w:t xml:space="preserve"> </w:t>
            </w:r>
            <w:r>
              <w:t xml:space="preserve">+ sex </w:t>
            </w:r>
            <w:r>
              <w:rPr>
                <w:rFonts w:cs="Times New Roman"/>
              </w:rPr>
              <w:t>×</w:t>
            </w:r>
            <w:r>
              <w:t xml:space="preserve"> </w:t>
            </w:r>
            <w:r>
              <w:t>cat</w:t>
            </w:r>
          </w:p>
        </w:tc>
        <w:tc>
          <w:tcPr>
            <w:tcW w:w="1179" w:type="dxa"/>
            <w:vAlign w:val="center"/>
          </w:tcPr>
          <w:p w:rsidR="00F24010" w:rsidRDefault="00F24010" w:rsidP="00906B25">
            <w:r>
              <w:t>~sex</w:t>
            </w:r>
          </w:p>
        </w:tc>
      </w:tr>
      <w:tr w:rsidR="00F24010" w:rsidTr="00906B25">
        <w:trPr>
          <w:trHeight w:val="282"/>
        </w:trPr>
        <w:tc>
          <w:tcPr>
            <w:tcW w:w="838" w:type="dxa"/>
            <w:shd w:val="clear" w:color="auto" w:fill="D9D9D9" w:themeFill="background1" w:themeFillShade="D9"/>
            <w:vAlign w:val="center"/>
          </w:tcPr>
          <w:p w:rsidR="00F24010" w:rsidRDefault="00F24010" w:rsidP="00906B25">
            <w:pPr>
              <w:jc w:val="center"/>
            </w:pPr>
            <w:r>
              <w:t>10</w:t>
            </w:r>
          </w:p>
        </w:tc>
        <w:tc>
          <w:tcPr>
            <w:tcW w:w="7511" w:type="dxa"/>
            <w:shd w:val="clear" w:color="auto" w:fill="D9D9D9" w:themeFill="background1" w:themeFillShade="D9"/>
            <w:vAlign w:val="center"/>
          </w:tcPr>
          <w:p w:rsidR="00F24010" w:rsidRDefault="00F24010" w:rsidP="00906B25">
            <w:r>
              <w:t xml:space="preserve">~sex + BCI + </w:t>
            </w:r>
            <w:r>
              <w:t xml:space="preserve">cat + </w:t>
            </w:r>
            <w:r>
              <w:t xml:space="preserve">sex </w:t>
            </w:r>
            <w:r>
              <w:rPr>
                <w:rFonts w:cs="Times New Roman"/>
              </w:rPr>
              <w:t>×</w:t>
            </w:r>
            <w:r>
              <w:t xml:space="preserve"> BCI + sex </w:t>
            </w:r>
            <w:r>
              <w:rPr>
                <w:rFonts w:cs="Times New Roman"/>
              </w:rPr>
              <w:t>×</w:t>
            </w:r>
            <w:r>
              <w:t xml:space="preserve"> cat + BCI </w:t>
            </w:r>
            <w:r>
              <w:rPr>
                <w:rFonts w:cs="Times New Roman"/>
              </w:rPr>
              <w:t>×</w:t>
            </w:r>
            <w:r>
              <w:t xml:space="preserve"> cat</w:t>
            </w:r>
          </w:p>
        </w:tc>
        <w:tc>
          <w:tcPr>
            <w:tcW w:w="1179" w:type="dxa"/>
            <w:shd w:val="clear" w:color="auto" w:fill="D9D9D9" w:themeFill="background1" w:themeFillShade="D9"/>
            <w:vAlign w:val="center"/>
          </w:tcPr>
          <w:p w:rsidR="00F24010" w:rsidRDefault="00F24010" w:rsidP="00906B25">
            <w:r>
              <w:t>~sex</w:t>
            </w:r>
          </w:p>
        </w:tc>
      </w:tr>
      <w:tr w:rsidR="00F24010" w:rsidTr="00906B25">
        <w:trPr>
          <w:trHeight w:val="292"/>
        </w:trPr>
        <w:tc>
          <w:tcPr>
            <w:tcW w:w="838" w:type="dxa"/>
            <w:vAlign w:val="center"/>
          </w:tcPr>
          <w:p w:rsidR="00F24010" w:rsidRDefault="00F24010" w:rsidP="00906B25">
            <w:pPr>
              <w:jc w:val="center"/>
            </w:pPr>
            <w:r>
              <w:t>11</w:t>
            </w:r>
          </w:p>
        </w:tc>
        <w:tc>
          <w:tcPr>
            <w:tcW w:w="7511" w:type="dxa"/>
            <w:vAlign w:val="center"/>
          </w:tcPr>
          <w:p w:rsidR="00F24010" w:rsidRDefault="00F24010" w:rsidP="00906B25">
            <w:r>
              <w:t xml:space="preserve">~sex + BCI + </w:t>
            </w:r>
            <w:r>
              <w:t xml:space="preserve">cat + imp + </w:t>
            </w:r>
            <w:r>
              <w:t xml:space="preserve">sex </w:t>
            </w:r>
            <w:r>
              <w:rPr>
                <w:rFonts w:cs="Times New Roman"/>
              </w:rPr>
              <w:t>×</w:t>
            </w:r>
            <w:r>
              <w:t xml:space="preserve"> BCI + sex </w:t>
            </w:r>
            <w:r>
              <w:rPr>
                <w:rFonts w:cs="Times New Roman"/>
              </w:rPr>
              <w:t>×</w:t>
            </w:r>
            <w:r>
              <w:t xml:space="preserve"> cat + BCI </w:t>
            </w:r>
            <w:r>
              <w:rPr>
                <w:rFonts w:cs="Times New Roman"/>
              </w:rPr>
              <w:t>×</w:t>
            </w:r>
            <w:r>
              <w:t xml:space="preserve"> cat</w:t>
            </w:r>
            <w:r>
              <w:t xml:space="preserve"> + imp </w:t>
            </w:r>
            <w:r>
              <w:rPr>
                <w:rFonts w:cs="Times New Roman"/>
              </w:rPr>
              <w:t>×</w:t>
            </w:r>
            <w:r>
              <w:t xml:space="preserve"> cat</w:t>
            </w:r>
          </w:p>
        </w:tc>
        <w:tc>
          <w:tcPr>
            <w:tcW w:w="1179" w:type="dxa"/>
            <w:vAlign w:val="center"/>
          </w:tcPr>
          <w:p w:rsidR="00F24010" w:rsidRDefault="00F24010" w:rsidP="00906B25">
            <w:r>
              <w:t>~sex</w:t>
            </w:r>
          </w:p>
        </w:tc>
      </w:tr>
      <w:tr w:rsidR="00F24010" w:rsidTr="00906B25">
        <w:trPr>
          <w:trHeight w:val="576"/>
        </w:trPr>
        <w:tc>
          <w:tcPr>
            <w:tcW w:w="838" w:type="dxa"/>
            <w:shd w:val="clear" w:color="auto" w:fill="D9D9D9" w:themeFill="background1" w:themeFillShade="D9"/>
            <w:vAlign w:val="center"/>
          </w:tcPr>
          <w:p w:rsidR="00F24010" w:rsidRDefault="00F24010" w:rsidP="00906B25">
            <w:pPr>
              <w:jc w:val="center"/>
            </w:pPr>
            <w:r>
              <w:t>12</w:t>
            </w:r>
          </w:p>
        </w:tc>
        <w:tc>
          <w:tcPr>
            <w:tcW w:w="7511" w:type="dxa"/>
            <w:shd w:val="clear" w:color="auto" w:fill="D9D9D9" w:themeFill="background1" w:themeFillShade="D9"/>
            <w:vAlign w:val="center"/>
          </w:tcPr>
          <w:p w:rsidR="00F24010" w:rsidRDefault="00F24010" w:rsidP="00520B89">
            <w:pPr>
              <w:ind w:left="130" w:hanging="130"/>
            </w:pPr>
            <w:r>
              <w:t xml:space="preserve">~sex + BCI + cat + imp </w:t>
            </w:r>
            <w:r>
              <w:t xml:space="preserve">+ </w:t>
            </w:r>
            <w:r>
              <w:t xml:space="preserve">sex </w:t>
            </w:r>
            <w:r>
              <w:rPr>
                <w:rFonts w:cs="Times New Roman"/>
              </w:rPr>
              <w:t>×</w:t>
            </w:r>
            <w:r>
              <w:t xml:space="preserve"> BCI + sex </w:t>
            </w:r>
            <w:r>
              <w:rPr>
                <w:rFonts w:cs="Times New Roman"/>
              </w:rPr>
              <w:t>×</w:t>
            </w:r>
            <w:r>
              <w:t xml:space="preserve"> cat + BCI </w:t>
            </w:r>
            <w:r>
              <w:rPr>
                <w:rFonts w:cs="Times New Roman"/>
              </w:rPr>
              <w:t>×</w:t>
            </w:r>
            <w:r>
              <w:t xml:space="preserve"> cat + imp </w:t>
            </w:r>
            <w:r>
              <w:rPr>
                <w:rFonts w:cs="Times New Roman"/>
              </w:rPr>
              <w:t>×</w:t>
            </w:r>
            <w:r>
              <w:t xml:space="preserve"> cat</w:t>
            </w:r>
            <w:r w:rsidR="00906B25">
              <w:t xml:space="preserve"> </w:t>
            </w:r>
            <w:r w:rsidR="00906B25">
              <w:t>+ imp</w:t>
            </w:r>
            <w:r w:rsidR="00906B25">
              <w:rPr>
                <w:vertAlign w:val="superscript"/>
              </w:rPr>
              <w:t>2</w:t>
            </w:r>
          </w:p>
        </w:tc>
        <w:tc>
          <w:tcPr>
            <w:tcW w:w="1179" w:type="dxa"/>
            <w:shd w:val="clear" w:color="auto" w:fill="D9D9D9" w:themeFill="background1" w:themeFillShade="D9"/>
            <w:vAlign w:val="center"/>
          </w:tcPr>
          <w:p w:rsidR="00F24010" w:rsidRDefault="00F24010" w:rsidP="00906B25">
            <w:r>
              <w:t>~sex</w:t>
            </w:r>
          </w:p>
        </w:tc>
      </w:tr>
      <w:tr w:rsidR="00F24010" w:rsidTr="00906B25">
        <w:trPr>
          <w:trHeight w:val="576"/>
        </w:trPr>
        <w:tc>
          <w:tcPr>
            <w:tcW w:w="838" w:type="dxa"/>
            <w:vAlign w:val="center"/>
          </w:tcPr>
          <w:p w:rsidR="00F24010" w:rsidRDefault="00F24010" w:rsidP="00906B25">
            <w:pPr>
              <w:jc w:val="center"/>
            </w:pPr>
            <w:r>
              <w:t>13</w:t>
            </w:r>
          </w:p>
        </w:tc>
        <w:tc>
          <w:tcPr>
            <w:tcW w:w="7511" w:type="dxa"/>
            <w:vAlign w:val="center"/>
          </w:tcPr>
          <w:p w:rsidR="00F24010" w:rsidRDefault="00F24010" w:rsidP="00520B89">
            <w:pPr>
              <w:ind w:left="130" w:hanging="130"/>
            </w:pPr>
            <w:r>
              <w:t xml:space="preserve">~sex + BCI + cat + imp + </w:t>
            </w:r>
            <w:r>
              <w:t xml:space="preserve">sex </w:t>
            </w:r>
            <w:r>
              <w:rPr>
                <w:rFonts w:cs="Times New Roman"/>
              </w:rPr>
              <w:t>×</w:t>
            </w:r>
            <w:r>
              <w:t xml:space="preserve"> imp + </w:t>
            </w:r>
            <w:r>
              <w:t xml:space="preserve">sex </w:t>
            </w:r>
            <w:r>
              <w:rPr>
                <w:rFonts w:cs="Times New Roman"/>
              </w:rPr>
              <w:t>×</w:t>
            </w:r>
            <w:r>
              <w:t xml:space="preserve"> BCI + sex </w:t>
            </w:r>
            <w:r>
              <w:rPr>
                <w:rFonts w:cs="Times New Roman"/>
              </w:rPr>
              <w:t>×</w:t>
            </w:r>
            <w:r>
              <w:t xml:space="preserve"> cat + BCI </w:t>
            </w:r>
            <w:r>
              <w:rPr>
                <w:rFonts w:cs="Times New Roman"/>
              </w:rPr>
              <w:t>×</w:t>
            </w:r>
            <w:r>
              <w:t xml:space="preserve"> cat + imp </w:t>
            </w:r>
            <w:r>
              <w:rPr>
                <w:rFonts w:cs="Times New Roman"/>
              </w:rPr>
              <w:t>×</w:t>
            </w:r>
            <w:r>
              <w:t xml:space="preserve"> cat</w:t>
            </w:r>
          </w:p>
        </w:tc>
        <w:tc>
          <w:tcPr>
            <w:tcW w:w="1179" w:type="dxa"/>
            <w:vAlign w:val="center"/>
          </w:tcPr>
          <w:p w:rsidR="00F24010" w:rsidRDefault="00F24010" w:rsidP="00906B25">
            <w:r>
              <w:t>~sex</w:t>
            </w:r>
          </w:p>
        </w:tc>
      </w:tr>
      <w:tr w:rsidR="00F24010" w:rsidTr="00906B25">
        <w:trPr>
          <w:trHeight w:val="576"/>
        </w:trPr>
        <w:tc>
          <w:tcPr>
            <w:tcW w:w="838" w:type="dxa"/>
            <w:shd w:val="clear" w:color="auto" w:fill="D9D9D9" w:themeFill="background1" w:themeFillShade="D9"/>
            <w:vAlign w:val="center"/>
          </w:tcPr>
          <w:p w:rsidR="00F24010" w:rsidRDefault="00F24010" w:rsidP="00906B25">
            <w:pPr>
              <w:jc w:val="center"/>
            </w:pPr>
            <w:r>
              <w:t>14</w:t>
            </w:r>
          </w:p>
        </w:tc>
        <w:tc>
          <w:tcPr>
            <w:tcW w:w="7511" w:type="dxa"/>
            <w:shd w:val="clear" w:color="auto" w:fill="D9D9D9" w:themeFill="background1" w:themeFillShade="D9"/>
            <w:vAlign w:val="center"/>
          </w:tcPr>
          <w:p w:rsidR="00F24010" w:rsidRDefault="00F24010" w:rsidP="00520B89">
            <w:pPr>
              <w:ind w:left="130" w:hanging="130"/>
            </w:pPr>
            <w:r>
              <w:t xml:space="preserve">~sex + BCI + cat + imp </w:t>
            </w:r>
            <w:r>
              <w:t xml:space="preserve">+ </w:t>
            </w:r>
            <w:r>
              <w:t xml:space="preserve">sex </w:t>
            </w:r>
            <w:r>
              <w:rPr>
                <w:rFonts w:cs="Times New Roman"/>
              </w:rPr>
              <w:t>×</w:t>
            </w:r>
            <w:r>
              <w:t xml:space="preserve"> imp + sex </w:t>
            </w:r>
            <w:r>
              <w:rPr>
                <w:rFonts w:cs="Times New Roman"/>
              </w:rPr>
              <w:t>×</w:t>
            </w:r>
            <w:r>
              <w:t xml:space="preserve"> BCI + sex </w:t>
            </w:r>
            <w:r>
              <w:rPr>
                <w:rFonts w:cs="Times New Roman"/>
              </w:rPr>
              <w:t>×</w:t>
            </w:r>
            <w:r>
              <w:t xml:space="preserve"> cat + BCI </w:t>
            </w:r>
            <w:r>
              <w:rPr>
                <w:rFonts w:cs="Times New Roman"/>
              </w:rPr>
              <w:t>×</w:t>
            </w:r>
            <w:r>
              <w:t xml:space="preserve"> cat + imp </w:t>
            </w:r>
            <w:r>
              <w:rPr>
                <w:rFonts w:cs="Times New Roman"/>
              </w:rPr>
              <w:t>×</w:t>
            </w:r>
            <w:r>
              <w:t xml:space="preserve"> cat</w:t>
            </w:r>
            <w:r w:rsidR="00906B25">
              <w:t xml:space="preserve"> </w:t>
            </w:r>
            <w:r w:rsidR="00906B25">
              <w:t>+ imp</w:t>
            </w:r>
            <w:r w:rsidR="00906B25">
              <w:rPr>
                <w:vertAlign w:val="superscript"/>
              </w:rPr>
              <w:t>2</w:t>
            </w:r>
          </w:p>
        </w:tc>
        <w:tc>
          <w:tcPr>
            <w:tcW w:w="1179" w:type="dxa"/>
            <w:shd w:val="clear" w:color="auto" w:fill="D9D9D9" w:themeFill="background1" w:themeFillShade="D9"/>
            <w:vAlign w:val="center"/>
          </w:tcPr>
          <w:p w:rsidR="00F24010" w:rsidRDefault="00F24010" w:rsidP="00906B25">
            <w:r>
              <w:t>~sex</w:t>
            </w:r>
          </w:p>
        </w:tc>
      </w:tr>
    </w:tbl>
    <w:p w:rsidR="00C8598C" w:rsidRPr="00C8598C" w:rsidRDefault="00FD2B03" w:rsidP="00C8598C">
      <w:pPr>
        <w:pStyle w:val="EndNoteBibliography"/>
      </w:pPr>
      <w:r>
        <w:lastRenderedPageBreak/>
        <w:fldChar w:fldCharType="begin"/>
      </w:r>
      <w:r>
        <w:instrText xml:space="preserve"> ADDIN EN.REFLIST </w:instrText>
      </w:r>
      <w:r>
        <w:fldChar w:fldCharType="separate"/>
      </w:r>
      <w:r w:rsidR="00C8598C" w:rsidRPr="00C8598C">
        <w:t>Amrhein, V., Scaar, B., Baumann, M., Minery, N., Binnert, J.P., Korner‐Nievergelt, F., 2012. Estimating adult sex ratios from bird mist netting data. Methods in Ecology and Evolution 3, 713-720.</w:t>
      </w:r>
    </w:p>
    <w:p w:rsidR="00C8598C" w:rsidRPr="00C8598C" w:rsidRDefault="00C8598C" w:rsidP="00C8598C">
      <w:pPr>
        <w:pStyle w:val="EndNoteBibliography"/>
      </w:pPr>
      <w:r w:rsidRPr="00C8598C">
        <w:t>Burnham, K.P., Anderson, D.R., 2003. Model selection and multimodel inference: a practical information-theoretic approach. Springer Science &amp; Business Media.</w:t>
      </w:r>
    </w:p>
    <w:p w:rsidR="00C8598C" w:rsidRPr="00C8598C" w:rsidRDefault="00C8598C" w:rsidP="00C8598C">
      <w:pPr>
        <w:pStyle w:val="EndNoteBibliography"/>
      </w:pPr>
      <w:r w:rsidRPr="00C8598C">
        <w:t>Clarke, A.L., Sæther, B.-E., Røskaft, E., 1997. Sex biases in avian dispersal: a reappraisal. Oikos, 429-438.</w:t>
      </w:r>
    </w:p>
    <w:p w:rsidR="00C8598C" w:rsidRPr="00C8598C" w:rsidRDefault="00C8598C" w:rsidP="00C8598C">
      <w:pPr>
        <w:pStyle w:val="EndNoteBibliography"/>
      </w:pPr>
      <w:r w:rsidRPr="00C8598C">
        <w:t>Evans, B.S., Ryder, T.B., Reitsma, R., Hurlbert, A.H., Marra, P.P., 2015. Characterizing avian survival along a rural-to-urban land use gradient. Ecology 96, 1631-1640.</w:t>
      </w:r>
    </w:p>
    <w:p w:rsidR="00C8598C" w:rsidRPr="00C8598C" w:rsidRDefault="00C8598C" w:rsidP="00C8598C">
      <w:pPr>
        <w:pStyle w:val="EndNoteBibliography"/>
      </w:pPr>
      <w:r w:rsidRPr="00C8598C">
        <w:t>Johnson, M.D., Sherry, T.W., Holmes, R.T., Marra, P.P., 2006. Assessing habitat quality for a migratory songbird wintering in natural and agricultural habitats. Conservation Biology 20, 1433-1444.</w:t>
      </w:r>
    </w:p>
    <w:p w:rsidR="00C8598C" w:rsidRPr="00C8598C" w:rsidRDefault="00C8598C" w:rsidP="00C8598C">
      <w:pPr>
        <w:pStyle w:val="EndNoteBibliography"/>
      </w:pPr>
      <w:r w:rsidRPr="00C8598C">
        <w:t>Laake, J.L., Johnson, D.S., Conn, P.B., 2013. marked: an R package for maximum likelihood and Markov Chain Monte Carlo analysis of capture–recapture data. Methods in Ecology and Evolution 4, 885-890.</w:t>
      </w:r>
    </w:p>
    <w:p w:rsidR="00C8598C" w:rsidRPr="00C8598C" w:rsidRDefault="00C8598C" w:rsidP="00C8598C">
      <w:pPr>
        <w:pStyle w:val="EndNoteBibliography"/>
      </w:pPr>
      <w:r w:rsidRPr="00C8598C">
        <w:t>Peig, J., Green, A.J., 2009. New perspectives for estimating body condition from mass/length data: the scaled mass index as an alternative method. Oikos 118, 1883-1891.</w:t>
      </w:r>
    </w:p>
    <w:p w:rsidR="00C8598C" w:rsidRPr="00C8598C" w:rsidRDefault="00C8598C" w:rsidP="00C8598C">
      <w:pPr>
        <w:pStyle w:val="EndNoteBibliography"/>
      </w:pPr>
      <w:r w:rsidRPr="00C8598C">
        <w:t>Pledger, S., Pollock, K.H., Norris, J.L., 2003. Open Capture‐Recapture Models with Heterogeneity: I. Cormack‐Jolly‐Seber Model. Biometrics 59, 786-794.</w:t>
      </w:r>
    </w:p>
    <w:p w:rsidR="00C8598C" w:rsidRPr="00C8598C" w:rsidRDefault="00C8598C" w:rsidP="00C8598C">
      <w:pPr>
        <w:pStyle w:val="EndNoteBibliography"/>
      </w:pPr>
      <w:r w:rsidRPr="00C8598C">
        <w:t>Pyle, P., 1997. Identification Guide to North American Birds: Columbidae to Ploceidae. Slate Creek Press.</w:t>
      </w:r>
    </w:p>
    <w:p w:rsidR="00C8598C" w:rsidRPr="00C8598C" w:rsidRDefault="00C8598C" w:rsidP="00C8598C">
      <w:pPr>
        <w:pStyle w:val="EndNoteBibliography"/>
      </w:pPr>
      <w:r w:rsidRPr="00C8598C">
        <w:t>Team, R.C., 2014. R: A language and environment for statistical computing. R Foundation for Statistical Computing, Vienna, Austria. 2013.</w:t>
      </w:r>
    </w:p>
    <w:p w:rsidR="00B952C4" w:rsidRDefault="00FD2B03" w:rsidP="004D50D1">
      <w:pPr>
        <w:spacing w:line="480" w:lineRule="auto"/>
        <w:ind w:firstLine="720"/>
      </w:pPr>
      <w:r>
        <w:fldChar w:fldCharType="end"/>
      </w:r>
    </w:p>
    <w:sectPr w:rsidR="00B95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ical Conserv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pvded3wrzd6eaa2e5vr5df0frpx022svr&quot;&gt;birdCatReferences&lt;record-ids&gt;&lt;item&gt;138&lt;/item&gt;&lt;item&gt;146&lt;/item&gt;&lt;item&gt;147&lt;/item&gt;&lt;item&gt;148&lt;/item&gt;&lt;item&gt;149&lt;/item&gt;&lt;item&gt;151&lt;/item&gt;&lt;item&gt;152&lt;/item&gt;&lt;item&gt;153&lt;/item&gt;&lt;item&gt;154&lt;/item&gt;&lt;item&gt;155&lt;/item&gt;&lt;/record-ids&gt;&lt;/item&gt;&lt;/Libraries&gt;"/>
  </w:docVars>
  <w:rsids>
    <w:rsidRoot w:val="00534F94"/>
    <w:rsid w:val="0002772B"/>
    <w:rsid w:val="001D4EE5"/>
    <w:rsid w:val="001D6A45"/>
    <w:rsid w:val="002952D9"/>
    <w:rsid w:val="0033302C"/>
    <w:rsid w:val="00471E47"/>
    <w:rsid w:val="004A3231"/>
    <w:rsid w:val="004D50D1"/>
    <w:rsid w:val="005073E9"/>
    <w:rsid w:val="00520B89"/>
    <w:rsid w:val="00534F94"/>
    <w:rsid w:val="005759D9"/>
    <w:rsid w:val="005929F1"/>
    <w:rsid w:val="005A4CE6"/>
    <w:rsid w:val="005E4BEB"/>
    <w:rsid w:val="00682330"/>
    <w:rsid w:val="006E4FE8"/>
    <w:rsid w:val="006F1B99"/>
    <w:rsid w:val="007116FF"/>
    <w:rsid w:val="00765A8D"/>
    <w:rsid w:val="00794D4A"/>
    <w:rsid w:val="007C5E59"/>
    <w:rsid w:val="008F51A8"/>
    <w:rsid w:val="00906B25"/>
    <w:rsid w:val="00944C15"/>
    <w:rsid w:val="00995065"/>
    <w:rsid w:val="009B4238"/>
    <w:rsid w:val="00A237F8"/>
    <w:rsid w:val="00AC5925"/>
    <w:rsid w:val="00B35F03"/>
    <w:rsid w:val="00B952C4"/>
    <w:rsid w:val="00BF2D87"/>
    <w:rsid w:val="00C8598C"/>
    <w:rsid w:val="00CA5B9D"/>
    <w:rsid w:val="00D414A8"/>
    <w:rsid w:val="00E170F4"/>
    <w:rsid w:val="00E435A3"/>
    <w:rsid w:val="00EE2754"/>
    <w:rsid w:val="00EF619E"/>
    <w:rsid w:val="00F24010"/>
    <w:rsid w:val="00F6265D"/>
    <w:rsid w:val="00F744F6"/>
    <w:rsid w:val="00FD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3D3D"/>
  <w15:chartTrackingRefBased/>
  <w15:docId w15:val="{E1C33032-0B06-4599-AB00-B4EFB98A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4F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4F94"/>
    <w:rPr>
      <w:sz w:val="16"/>
      <w:szCs w:val="16"/>
    </w:rPr>
  </w:style>
  <w:style w:type="paragraph" w:styleId="CommentText">
    <w:name w:val="annotation text"/>
    <w:basedOn w:val="Normal"/>
    <w:link w:val="CommentTextChar"/>
    <w:uiPriority w:val="99"/>
    <w:semiHidden/>
    <w:unhideWhenUsed/>
    <w:rsid w:val="00534F94"/>
    <w:rPr>
      <w:sz w:val="20"/>
      <w:szCs w:val="20"/>
    </w:rPr>
  </w:style>
  <w:style w:type="character" w:customStyle="1" w:styleId="CommentTextChar">
    <w:name w:val="Comment Text Char"/>
    <w:basedOn w:val="DefaultParagraphFont"/>
    <w:link w:val="CommentText"/>
    <w:uiPriority w:val="99"/>
    <w:semiHidden/>
    <w:rsid w:val="00534F94"/>
    <w:rPr>
      <w:sz w:val="20"/>
      <w:szCs w:val="20"/>
    </w:rPr>
  </w:style>
  <w:style w:type="paragraph" w:styleId="BalloonText">
    <w:name w:val="Balloon Text"/>
    <w:basedOn w:val="Normal"/>
    <w:link w:val="BalloonTextChar"/>
    <w:uiPriority w:val="99"/>
    <w:semiHidden/>
    <w:unhideWhenUsed/>
    <w:rsid w:val="00534F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F94"/>
    <w:rPr>
      <w:rFonts w:ascii="Segoe UI" w:hAnsi="Segoe UI" w:cs="Segoe UI"/>
      <w:sz w:val="18"/>
      <w:szCs w:val="18"/>
    </w:rPr>
  </w:style>
  <w:style w:type="paragraph" w:customStyle="1" w:styleId="EndNoteBibliographyTitle">
    <w:name w:val="EndNote Bibliography Title"/>
    <w:basedOn w:val="Normal"/>
    <w:link w:val="EndNoteBibliographyTitleChar"/>
    <w:rsid w:val="00FD2B03"/>
    <w:pPr>
      <w:jc w:val="center"/>
    </w:pPr>
    <w:rPr>
      <w:rFonts w:cs="Times New Roman"/>
      <w:noProof/>
    </w:rPr>
  </w:style>
  <w:style w:type="character" w:customStyle="1" w:styleId="EndNoteBibliographyTitleChar">
    <w:name w:val="EndNote Bibliography Title Char"/>
    <w:basedOn w:val="DefaultParagraphFont"/>
    <w:link w:val="EndNoteBibliographyTitle"/>
    <w:rsid w:val="00FD2B03"/>
    <w:rPr>
      <w:rFonts w:cs="Times New Roman"/>
      <w:noProof/>
    </w:rPr>
  </w:style>
  <w:style w:type="paragraph" w:customStyle="1" w:styleId="EndNoteBibliography">
    <w:name w:val="EndNote Bibliography"/>
    <w:basedOn w:val="Normal"/>
    <w:link w:val="EndNoteBibliographyChar"/>
    <w:rsid w:val="00FD2B03"/>
    <w:rPr>
      <w:rFonts w:cs="Times New Roman"/>
      <w:noProof/>
    </w:rPr>
  </w:style>
  <w:style w:type="character" w:customStyle="1" w:styleId="EndNoteBibliographyChar">
    <w:name w:val="EndNote Bibliography Char"/>
    <w:basedOn w:val="DefaultParagraphFont"/>
    <w:link w:val="EndNoteBibliography"/>
    <w:rsid w:val="00FD2B03"/>
    <w:rPr>
      <w:rFonts w:cs="Times New Roman"/>
      <w:noProof/>
    </w:rPr>
  </w:style>
  <w:style w:type="character" w:customStyle="1" w:styleId="xbe">
    <w:name w:val="_xbe"/>
    <w:basedOn w:val="DefaultParagraphFont"/>
    <w:rsid w:val="00E435A3"/>
  </w:style>
  <w:style w:type="table" w:styleId="TableGrid">
    <w:name w:val="Table Grid"/>
    <w:basedOn w:val="TableNormal"/>
    <w:uiPriority w:val="39"/>
    <w:rsid w:val="006E4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Bennett</dc:creator>
  <cp:keywords/>
  <dc:description/>
  <cp:lastModifiedBy>Kevin Bennett</cp:lastModifiedBy>
  <cp:revision>12</cp:revision>
  <dcterms:created xsi:type="dcterms:W3CDTF">2017-03-27T12:47:00Z</dcterms:created>
  <dcterms:modified xsi:type="dcterms:W3CDTF">2017-03-27T22:08:00Z</dcterms:modified>
</cp:coreProperties>
</file>