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Calibri" w:cs="Calibri" w:eastAsia="Calibri" w:hAnsi="Calibri"/>
          <w:sz w:val="22"/>
          <w:szCs w:val="22"/>
        </w:rPr>
        <w:t xml:space="preserve"> </w:t>
      </w:r>
    </w:p>
    <w:p>
      <w:pPr>
        <w:spacing w:after="200"/>
        <w:jc w:val="center"/>
      </w:pPr>
      <w:r>
        <w:rPr>
          <w:rFonts w:ascii="Calibri" w:cs="Calibri" w:eastAsia="Calibri" w:hAnsi="Calibri"/>
          <w:b/>
          <w:bCs/>
          <w:color w:val="1F3864"/>
          <w:sz w:val="52"/>
          <w:szCs w:val="52"/>
        </w:rPr>
        <w:t xml:space="preserve">UK TAX PLANNING SOFTWARE</w:t>
      </w:r>
    </w:p>
    <w:p>
      <w:pPr>
        <w:spacing w:after="600"/>
        <w:jc w:val="center"/>
      </w:pPr>
      <w:r>
        <w:rPr>
          <w:rFonts w:ascii="Calibri" w:cs="Calibri" w:eastAsia="Calibri" w:hAnsi="Calibri"/>
          <w:color w:val="2E5395"/>
          <w:sz w:val="32"/>
          <w:szCs w:val="32"/>
        </w:rPr>
        <w:t xml:space="preserve">for Small and Medium Accounting Firms</w:t>
      </w:r>
    </w:p>
    <w:p>
      <w:pPr>
        <w:spacing w:after="1600"/>
        <w:jc w:val="center"/>
      </w:pPr>
      <w:r>
        <w:rPr>
          <w:rFonts w:ascii="Calibri" w:cs="Calibri" w:eastAsia="Calibri" w:hAnsi="Calibri"/>
          <w:b/>
          <w:bCs/>
          <w:sz w:val="26"/>
          <w:szCs w:val="26"/>
        </w:rPr>
        <w:t xml:space="preserve">Technology Stack Recommendation and Architecture Outline</w:t>
      </w:r>
    </w:p>
    <w:p>
      <w:pPr>
        <w:spacing w:after="120"/>
        <w:jc w:val="center"/>
      </w:pPr>
      <w:r>
        <w:rPr>
          <w:rFonts w:ascii="Calibri" w:cs="Calibri" w:eastAsia="Calibri" w:hAnsi="Calibri"/>
          <w:sz w:val="22"/>
          <w:szCs w:val="22"/>
        </w:rPr>
        <w:t xml:space="preserve">Prepared for: KAFS Ltd (Tax Planner Project)</w:t>
      </w:r>
    </w:p>
    <w:p>
      <w:pPr>
        <w:spacing w:after="120"/>
        <w:jc w:val="center"/>
      </w:pPr>
      <w:r>
        <w:rPr>
          <w:rFonts w:ascii="Calibri" w:cs="Calibri" w:eastAsia="Calibri" w:hAnsi="Calibri"/>
          <w:sz w:val="22"/>
          <w:szCs w:val="22"/>
        </w:rPr>
        <w:t xml:space="preserve">Date: 4 July 2026</w:t>
      </w:r>
    </w:p>
    <w:p>
      <w:pPr>
        <w:spacing w:after="120"/>
        <w:jc w:val="center"/>
      </w:pPr>
      <w:r>
        <w:rPr>
          <w:rFonts w:ascii="Calibri" w:cs="Calibri" w:eastAsia="Calibri" w:hAnsi="Calibri"/>
          <w:i/>
          <w:iCs/>
          <w:sz w:val="22"/>
          <w:szCs w:val="22"/>
        </w:rPr>
        <w:t xml:space="preserve">Status: Pre-build scoping document. No code has been produced.</w:t>
      </w:r>
    </w:p>
    <w:p>
      <w:pPr>
        <w:jc w:val="center"/>
      </w:pPr>
      <w:r>
        <w:rPr>
          <w:rFonts w:ascii="Calibri" w:cs="Calibri" w:eastAsia="Calibri" w:hAnsi="Calibri"/>
          <w:i/>
          <w:iCs/>
          <w:color w:val="808080"/>
          <w:sz w:val="20"/>
          <w:szCs w:val="20"/>
        </w:rPr>
        <w:t xml:space="preserve">Classification: Internal / Commercial in confidence</w:t>
      </w:r>
    </w:p>
    <w:p>
      <w:r>
        <w:br w:type="page"/>
      </w:r>
    </w:p>
    <w:p>
      <w:pPr>
        <w:pStyle w:val="Heading1"/>
        <w:spacing w:after="200" w:before="36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b/>
          <w:bCs/>
          <w:sz w:val="22"/>
          <w:szCs w:val="22"/>
        </w:rPr>
        <w:t xml:space="preserve">Headline recommendation: </w:t>
      </w:r>
      <w:r>
        <w:rPr>
          <w:rFonts w:ascii="Calibri" w:cs="Calibri" w:eastAsia="Calibri" w:hAnsi="Calibri"/>
          <w:sz w:val="22"/>
          <w:szCs w:val="22"/>
        </w:rPr>
        <w:t xml:space="preserve">build a single Django (Python) web application on PostgreSQL, hosted in a UK cloud region, with a server-rendered frontend (Django templates plus HTMX). The heart of the product is not the web stack at all: it is a versioned, effective-dated UK tax rule base maintained under editorial control, with every planning strategy tied to a first-class citation record (statute, HMRC manual paragraph, or tribunal decision). Calculations and legal citations come only from this deterministic engine. Large language models are confined to two safe roles: drafting client-facing narrative from figures the engine has already computed, and triaging legislative change feeds for a human tax editor. An LLM is never the source of a number, a citation, or a risk classification.</w:t>
      </w:r>
    </w:p>
    <w:p>
      <w:pPr>
        <w:spacing w:after="160" w:line="276"/>
      </w:pPr>
      <w:r>
        <w:rPr>
          <w:rFonts w:ascii="Calibri" w:cs="Calibri" w:eastAsia="Calibri" w:hAnsi="Calibri"/>
          <w:sz w:val="22"/>
          <w:szCs w:val="22"/>
        </w:rPr>
        <w:t xml:space="preserve">This architecture was chosen against three constraints you set: launch as cheaply as possible, target small firms first while remaining credible for medium firms, and defer all integrations except HMRC Making Tax Digital (MTD) APIs, which arrive in Phase 2. A boring, single-language monolith is the cheapest credible way to build this product, and it is also the most defensible: an accountant relying on the tool's advice needs to reproduce, years later, exactly what the tool said, on which rule version, citing which authority. That audit requirement drives most of the design decisions in this document.</w:t>
      </w:r>
    </w:p>
    <w:p>
      <w:pPr>
        <w:spacing w:after="160" w:line="276"/>
      </w:pPr>
      <w:r>
        <w:rPr>
          <w:rFonts w:ascii="Calibri" w:cs="Calibri" w:eastAsia="Calibri" w:hAnsi="Calibri"/>
          <w:b/>
          <w:bCs/>
          <w:sz w:val="22"/>
          <w:szCs w:val="22"/>
        </w:rPr>
        <w:t xml:space="preserve">The hardest problem </w:t>
      </w:r>
      <w:r>
        <w:rPr>
          <w:rFonts w:ascii="Calibri" w:cs="Calibri" w:eastAsia="Calibri" w:hAnsi="Calibri"/>
          <w:sz w:val="22"/>
          <w:szCs w:val="22"/>
        </w:rPr>
        <w:t xml:space="preserve">is keeping the rule base current as Finance Acts, HMRC guidance, and case law change. Section 5 treats this in depth. The short answer: rules are data, not code; every rule carries effective dates and authority links; changes flow through a monitored pipeline (legislation.gov.uk API, HMRC manual change logs, tribunal decision feeds) into a human editorial review, and every release of the rule base is versioned, regression-tested against golden calculations, and stamped onto every piece of advice generated.</w:t>
      </w:r>
    </w:p>
    <w:p>
      <w:pPr>
        <w:spacing w:after="160" w:line="276"/>
      </w:pPr>
      <w:r>
        <w:rPr>
          <w:rFonts w:ascii="Calibri" w:cs="Calibri" w:eastAsia="Calibri" w:hAnsi="Calibri"/>
          <w:b/>
          <w:bCs/>
          <w:sz w:val="22"/>
          <w:szCs w:val="22"/>
        </w:rPr>
        <w:t xml:space="preserve">What this document is not: </w:t>
      </w:r>
      <w:r>
        <w:rPr>
          <w:rFonts w:ascii="Calibri" w:cs="Calibri" w:eastAsia="Calibri" w:hAnsi="Calibri"/>
          <w:sz w:val="22"/>
          <w:szCs w:val="22"/>
        </w:rPr>
        <w:t xml:space="preserve">it is not tax advice, and the product it describes is decision support for regulated accountants, not a replacement for them. The professional signing the advice remains the adviser. This framing matters legally (Professional Conduct in Relation to Taxation, professional indemnity insurance) and under UK GDPR's automated decision-making provisions, and it is built into the architecture.</w:t>
      </w:r>
    </w:p>
    <w:p>
      <w:pPr>
        <w:pStyle w:val="Heading1"/>
        <w:spacing w:after="200" w:before="360"/>
      </w:pPr>
      <w:r>
        <w:rPr>
          <w:rFonts w:ascii="Calibri" w:cs="Calibri" w:eastAsia="Calibri" w:hAnsi="Calibri"/>
          <w:b/>
          <w:bCs/>
          <w:color w:val="1F3864"/>
          <w:sz w:val="30"/>
          <w:szCs w:val="30"/>
        </w:rPr>
        <w:t xml:space="preserve">2. Background and Product Definition</w:t>
      </w:r>
    </w:p>
    <w:p>
      <w:pPr>
        <w:spacing w:after="160" w:line="276"/>
      </w:pPr>
      <w:r>
        <w:rPr>
          <w:rFonts w:ascii="Calibri" w:cs="Calibri" w:eastAsia="Calibri" w:hAnsi="Calibri"/>
          <w:sz w:val="22"/>
          <w:szCs w:val="22"/>
        </w:rPr>
        <w:t xml:space="preserve">Small and medium UK accounting firms serve owner-managers, landlords, contractors, and moderately wealthy families, yet the planning advice these clients receive is usually thinner than what a top-tier advisory firm gives a high-net-worth client. The strategies themselves (salary and dividend optimisation, pension annual allowance planning, family investment companies, business and agricultural property relief, spousal transfers, EIS/SEIS/VCT reliefs, incorporation and disincorporation, holdover and rollover elections, principal private residence planning, SDLT structuring) are public law, not secrets. What smaller firms lack is the time and the reference infrastructure to apply them systematically, quantify them per client, and defend them with citations.</w:t>
      </w:r>
    </w:p>
    <w:p>
      <w:pPr>
        <w:spacing w:after="160" w:line="276"/>
      </w:pPr>
      <w:r>
        <w:rPr>
          <w:rFonts w:ascii="Calibri" w:cs="Calibri" w:eastAsia="Calibri" w:hAnsi="Calibri"/>
          <w:sz w:val="22"/>
          <w:szCs w:val="22"/>
        </w:rPr>
        <w:t xml:space="preserve">The product closes that gap. Firm staff input client financial data; the tool returns specific, quantified planning recommendations across personal income tax, corporation tax, inheritance tax, and property taxes, plus cross-cutting strategies spanning more than one of these. Every recommendation carries three mandatory attributes:</w:t>
      </w:r>
    </w:p>
    <w:p>
      <w:pPr>
        <w:pStyle w:val="ListParagraph"/>
        <w:numPr>
          <w:ilvl w:val="0"/>
          <w:numId w:val="2"/>
        </w:numPr>
        <w:spacing w:after="100" w:line="276"/>
      </w:pPr>
      <w:r>
        <w:rPr>
          <w:rFonts w:ascii="Calibri" w:cs="Calibri" w:eastAsia="Calibri" w:hAnsi="Calibri"/>
          <w:sz w:val="22"/>
          <w:szCs w:val="22"/>
        </w:rPr>
        <w:t xml:space="preserve">Legal basis: the specific statute section, HMRC guidance paragraph, or case law (court or tribunal decision) that supports it.</w:t>
      </w:r>
    </w:p>
    <w:p>
      <w:pPr>
        <w:pStyle w:val="ListParagraph"/>
        <w:numPr>
          <w:ilvl w:val="0"/>
          <w:numId w:val="2"/>
        </w:numPr>
        <w:spacing w:after="100" w:line="276"/>
      </w:pPr>
      <w:r>
        <w:rPr>
          <w:rFonts w:ascii="Calibri" w:cs="Calibri" w:eastAsia="Calibri" w:hAnsi="Calibri"/>
          <w:sz w:val="22"/>
          <w:szCs w:val="22"/>
        </w:rPr>
        <w:t xml:space="preserve">Timeframe classification: short-term (achievable within 1 year), medium-term (within 3 years), or long-term (4 years or more).</w:t>
      </w:r>
    </w:p>
    <w:p>
      <w:pPr>
        <w:pStyle w:val="ListParagraph"/>
        <w:numPr>
          <w:ilvl w:val="0"/>
          <w:numId w:val="2"/>
        </w:numPr>
        <w:spacing w:after="100" w:line="276"/>
      </w:pPr>
      <w:r>
        <w:rPr>
          <w:rFonts w:ascii="Calibri" w:cs="Calibri" w:eastAsia="Calibri" w:hAnsi="Calibri"/>
          <w:sz w:val="22"/>
          <w:szCs w:val="22"/>
        </w:rPr>
        <w:t xml:space="preserve">Risk status: an explicit flag where a position is borderline, contested by HMRC, or untested, including anything with DOTAS-notifiable characteristics or GAAR sensitivity, rather than presenting it as settled.</w:t>
      </w:r>
    </w:p>
    <w:p>
      <w:pPr>
        <w:spacing w:after="160" w:line="276"/>
      </w:pPr>
      <w:r>
        <w:rPr>
          <w:rFonts w:ascii="Calibri" w:cs="Calibri" w:eastAsia="Calibri" w:hAnsi="Calibri"/>
          <w:sz w:val="22"/>
          <w:szCs w:val="22"/>
        </w:rPr>
        <w:t xml:space="preserve">The tool identifies what is legally permitted and discloses the risk status of each position honestly. It does not filter lawful strategies by how aggressive they appear; the safeguard is disclosure, not omission. The professional judgement about whether to recommend a flagged strategy to a particular client belongs to the accountant.</w:t>
      </w:r>
    </w:p>
    <w:p>
      <w:pPr>
        <w:spacing w:after="160" w:line="276"/>
      </w:pPr>
      <w:r>
        <w:rPr>
          <w:rFonts w:ascii="Calibri" w:cs="Calibri" w:eastAsia="Calibri" w:hAnsi="Calibri"/>
          <w:b/>
          <w:bCs/>
          <w:sz w:val="22"/>
          <w:szCs w:val="22"/>
        </w:rPr>
        <w:t xml:space="preserve">Target market and constraints confirmed at scoping: </w:t>
      </w:r>
      <w:r>
        <w:rPr>
          <w:rFonts w:ascii="Calibri" w:cs="Calibri" w:eastAsia="Calibri" w:hAnsi="Calibri"/>
          <w:sz w:val="22"/>
          <w:szCs w:val="22"/>
        </w:rPr>
        <w:t xml:space="preserve">design for small firms (1 to 10 staff) first with a path to medium firms (10 to 50 staff); build budget as low as possible; no practice-management or bookkeeping integrations at MVP; HMRC/MTD API integration planned for Phase 2; manual entry and spreadsheet import at MVP.</w:t>
      </w:r>
    </w:p>
    <w:p>
      <w:pPr>
        <w:pStyle w:val="Heading1"/>
        <w:spacing w:after="200" w:before="360"/>
      </w:pPr>
      <w:r>
        <w:rPr>
          <w:rFonts w:ascii="Calibri" w:cs="Calibri" w:eastAsia="Calibri" w:hAnsi="Calibri"/>
          <w:b/>
          <w:bCs/>
          <w:color w:val="1F3864"/>
          <w:sz w:val="30"/>
          <w:szCs w:val="30"/>
        </w:rPr>
        <w:t xml:space="preserve">3. Recommended Technology Stack</w:t>
      </w:r>
    </w:p>
    <w:p>
      <w:pPr>
        <w:spacing w:after="160" w:line="276"/>
      </w:pPr>
      <w:r>
        <w:rPr>
          <w:rFonts w:ascii="Calibri" w:cs="Calibri" w:eastAsia="Calibri" w:hAnsi="Calibri"/>
          <w:sz w:val="22"/>
          <w:szCs w:val="22"/>
        </w:rPr>
        <w:t xml:space="preserve">The guiding principle is a boring monolith: one language, one framework, one database, no microservices, no Kubernetes, nothing that requires a platform team. Every pound of budget should go into the rule base and the citation infrastructure, because that is the product; the web application around it is commodity.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126"/>
      </w:tblGrid>
      <w:tr>
        <w:trPr>
          <w:tblHeader/>
        </w:trPr>
        <w:tc>
          <w:tcPr>
            <w:tcW w:type="dxa" w:w="13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Layer</w:t>
            </w:r>
          </w:p>
        </w:tc>
        <w:tc>
          <w:tcPr>
            <w:tcW w:type="dxa" w:w="26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Recommendation</w:t>
            </w:r>
          </w:p>
        </w:tc>
        <w:tc>
          <w:tcPr>
            <w:tcW w:type="dxa" w:w="5126"/>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Reasoning</w:t>
            </w:r>
          </w:p>
        </w:tc>
      </w:tr>
      <w:tr>
        <w:tc>
          <w:tcPr>
            <w:tcW w:type="dxa" w:w="13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Backend</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Python 3 / Django</w:t>
            </w:r>
          </w:p>
        </w:tc>
        <w:tc>
          <w:tcPr>
            <w:tcW w:type="dxa" w:w="5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One framework provides the ORM, authentication, permissions, forms, and, critically, the Django Admin, which becomes the rule-base editing interface for the tax editor at near-zero build cost. Python has the largest talent pool for affordable contractors and is the natural language for the calculation engine and any later AI components.</w:t>
            </w:r>
          </w:p>
        </w:tc>
      </w:tr>
      <w:tr>
        <w:tc>
          <w:tcPr>
            <w:tcW w:type="dxa" w:w="13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Frontend</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Django templates + HTMX + Alpine.js</w:t>
            </w:r>
          </w:p>
        </w:tc>
        <w:tc>
          <w:tcPr>
            <w:tcW w:type="dxa" w:w="5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Server-rendered pages with HTMX for interactivity avoid a separate JavaScript application, a second build pipeline, and a second skill set. For a forms-and-reports product used by accountants, a single-page application adds cost and no value at MVP. React can be introduced later for specific screens (e.g. scenario modelling) without rearchitecting.</w:t>
            </w:r>
          </w:p>
        </w:tc>
      </w:tr>
      <w:tr>
        <w:tc>
          <w:tcPr>
            <w:tcW w:type="dxa" w:w="13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Database</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PostgreSQL 16+</w:t>
            </w:r>
          </w:p>
        </w:tc>
        <w:tc>
          <w:tcPr>
            <w:tcW w:type="dxa" w:w="5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Relational integrity for client and advice records; JSONB columns for flexible rule parameters; native range types for effective-dated rules; row-level security for multi-tenant isolation between firms. One database serves the rule base, client data, and audit log at MVP scale.</w:t>
            </w:r>
          </w:p>
        </w:tc>
      </w:tr>
      <w:tr>
        <w:tc>
          <w:tcPr>
            <w:tcW w:type="dxa" w:w="13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Hosting</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Managed platform, UK/EU region (e.g. Railway, Render, or Fly.io to start; Azure UK South or AWS eu-west-2 when firms demand it)</w:t>
            </w:r>
          </w:p>
        </w:tc>
        <w:tc>
          <w:tcPr>
            <w:tcW w:type="dxa" w:w="5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 managed platform with managed PostgreSQL costs roughly £20 to £60 per month at MVP scale and removes all server administration. UK GDPR does not strictly mandate UK residency, but UK-region hosting removes the international-transfer analysis entirely and is what accounting firms expect to hear. Migration to Azure/AWS later is straightforward because the application is a standard container.</w:t>
            </w:r>
          </w:p>
        </w:tc>
      </w:tr>
      <w:tr>
        <w:tc>
          <w:tcPr>
            <w:tcW w:type="dxa" w:w="13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Documents</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WeasyPrint (HTML to PDF)</w:t>
            </w:r>
          </w:p>
        </w:tc>
        <w:tc>
          <w:tcPr>
            <w:tcW w:type="dxa" w:w="5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Advice reports are generated as branded PDFs from the same templates as the web views. Free, Python-native.</w:t>
            </w:r>
          </w:p>
        </w:tc>
      </w:tr>
      <w:tr>
        <w:tc>
          <w:tcPr>
            <w:tcW w:type="dxa" w:w="13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Background jobs</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Django-Q2 or Celery + Redis</w:t>
            </w:r>
          </w:p>
        </w:tc>
        <w:tc>
          <w:tcPr>
            <w:tcW w:type="dxa" w:w="5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Legislative feed polling, report generation, and later MTD API calls run outside the request cycle. Django-Q2 is lighter and cheaper at MVP.</w:t>
            </w:r>
          </w:p>
        </w:tc>
      </w:tr>
      <w:tr>
        <w:tc>
          <w:tcPr>
            <w:tcW w:type="dxa" w:w="13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Version control / CI</w:t>
            </w:r>
          </w:p>
        </w:tc>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GitHub + GitHub Actions</w:t>
            </w:r>
          </w:p>
        </w:tc>
        <w:tc>
          <w:tcPr>
            <w:tcW w:type="dxa" w:w="5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Free tier is sufficient. The rule base regression suite (Section 5.5) runs on every change.</w:t>
            </w:r>
          </w:p>
        </w:tc>
      </w:tr>
    </w:tbl>
    <w:p>
      <w:pPr>
        <w:spacing w:after="60"/>
      </w:pPr>
      <w:r>
        <w:rPr>
          <w:rFonts w:ascii="Calibri" w:cs="Calibri" w:eastAsia="Calibri" w:hAnsi="Calibri"/>
          <w:sz w:val="22"/>
          <w:szCs w:val="22"/>
        </w:rPr>
        <w:t xml:space="preserve"/>
      </w:r>
    </w:p>
    <w:p>
      <w:pPr>
        <w:spacing w:after="160" w:line="276"/>
      </w:pPr>
      <w:r>
        <w:rPr>
          <w:rFonts w:ascii="Calibri" w:cs="Calibri" w:eastAsia="Calibri" w:hAnsi="Calibri"/>
          <w:b/>
          <w:bCs/>
          <w:sz w:val="22"/>
          <w:szCs w:val="22"/>
        </w:rPr>
        <w:t xml:space="preserve">What was rejected and why: </w:t>
      </w:r>
      <w:r>
        <w:rPr>
          <w:rFonts w:ascii="Calibri" w:cs="Calibri" w:eastAsia="Calibri" w:hAnsi="Calibri"/>
          <w:sz w:val="22"/>
          <w:szCs w:val="22"/>
        </w:rPr>
        <w:t xml:space="preserve">a Node/React/SPA stack (two languages, two teams, no admin for free); microservices (operational overhead with no benefit at this scale); a no-code or low-code platform (cannot express an auditable rule engine and creates vendor lock-in on the core asset); building on a US-hosted backend-as-a-service such as Firebase (data residency friction with UK client financial data).</w:t>
      </w:r>
    </w:p>
    <w:p>
      <w:pPr>
        <w:pStyle w:val="Heading1"/>
        <w:spacing w:after="200" w:before="360"/>
      </w:pPr>
      <w:r>
        <w:rPr>
          <w:rFonts w:ascii="Calibri" w:cs="Calibri" w:eastAsia="Calibri" w:hAnsi="Calibri"/>
          <w:b/>
          <w:bCs/>
          <w:color w:val="1F3864"/>
          <w:sz w:val="30"/>
          <w:szCs w:val="30"/>
        </w:rPr>
        <w:t xml:space="preserve">4. Architecture Overview</w:t>
      </w:r>
    </w:p>
    <w:p>
      <w:pPr>
        <w:spacing w:after="160" w:line="276"/>
      </w:pPr>
      <w:r>
        <w:rPr>
          <w:rFonts w:ascii="Calibri" w:cs="Calibri" w:eastAsia="Calibri" w:hAnsi="Calibri"/>
          <w:sz w:val="22"/>
          <w:szCs w:val="22"/>
        </w:rPr>
        <w:t xml:space="preserve">The system divides into five components. All run inside the single Django application at MVP; the separation is logical, not physical, which keeps costs down while preserving the option to split later.</w:t>
      </w:r>
    </w:p>
    <w:p>
      <w:pPr>
        <w:pStyle w:val="ListParagraph"/>
        <w:numPr>
          <w:ilvl w:val="0"/>
          <w:numId w:val="2"/>
        </w:numPr>
        <w:spacing w:after="100" w:line="276"/>
      </w:pPr>
      <w:r>
        <w:rPr>
          <w:rFonts w:ascii="Calibri" w:cs="Calibri" w:eastAsia="Calibri" w:hAnsi="Calibri"/>
          <w:sz w:val="22"/>
          <w:szCs w:val="22"/>
        </w:rPr>
        <w:t xml:space="preserve">Client Data Module: firm staff enter or import (CSV/spreadsheet) client financial data: income sources, company accounts summaries, property portfolios, pension contributions, gifts, and estate composition. Data is versioned per tax year and per firm, isolated by row-level security.</w:t>
      </w:r>
    </w:p>
    <w:p>
      <w:pPr>
        <w:pStyle w:val="ListParagraph"/>
        <w:numPr>
          <w:ilvl w:val="0"/>
          <w:numId w:val="2"/>
        </w:numPr>
        <w:spacing w:after="100" w:line="276"/>
      </w:pPr>
      <w:r>
        <w:rPr>
          <w:rFonts w:ascii="Calibri" w:cs="Calibri" w:eastAsia="Calibri" w:hAnsi="Calibri"/>
          <w:sz w:val="22"/>
          <w:szCs w:val="22"/>
        </w:rPr>
        <w:t xml:space="preserve">Rule Base and Calculation Engine: the versioned, effective-dated store of tax parameters, eligibility logic, and planning strategies, with a deterministic Python calculation layer. Described fully in Section 5.</w:t>
      </w:r>
    </w:p>
    <w:p>
      <w:pPr>
        <w:pStyle w:val="ListParagraph"/>
        <w:numPr>
          <w:ilvl w:val="0"/>
          <w:numId w:val="2"/>
        </w:numPr>
        <w:spacing w:after="100" w:line="276"/>
      </w:pPr>
      <w:r>
        <w:rPr>
          <w:rFonts w:ascii="Calibri" w:cs="Calibri" w:eastAsia="Calibri" w:hAnsi="Calibri"/>
          <w:sz w:val="22"/>
          <w:szCs w:val="22"/>
        </w:rPr>
        <w:t xml:space="preserve">Authority Registry and Audit Trail: first-class records for every statute section, HMRC manual paragraph, and case relied upon, plus immutable advice snapshots. Described fully in Section 6.</w:t>
      </w:r>
    </w:p>
    <w:p>
      <w:pPr>
        <w:pStyle w:val="ListParagraph"/>
        <w:numPr>
          <w:ilvl w:val="0"/>
          <w:numId w:val="2"/>
        </w:numPr>
        <w:spacing w:after="100" w:line="276"/>
      </w:pPr>
      <w:r>
        <w:rPr>
          <w:rFonts w:ascii="Calibri" w:cs="Calibri" w:eastAsia="Calibri" w:hAnsi="Calibri"/>
          <w:sz w:val="22"/>
          <w:szCs w:val="22"/>
        </w:rPr>
        <w:t xml:space="preserve">Advice Generator: matches client facts against strategy eligibility rules, quantifies each applicable strategy through the calculation engine, attaches citations, timeframe, and risk flags, and renders the advice report. An optional LLM narrative layer sits on top under strict guardrails (Section 8).</w:t>
      </w:r>
    </w:p>
    <w:p>
      <w:pPr>
        <w:pStyle w:val="ListParagraph"/>
        <w:numPr>
          <w:ilvl w:val="0"/>
          <w:numId w:val="2"/>
        </w:numPr>
        <w:spacing w:after="100" w:line="276"/>
      </w:pPr>
      <w:r>
        <w:rPr>
          <w:rFonts w:ascii="Calibri" w:cs="Calibri" w:eastAsia="Calibri" w:hAnsi="Calibri"/>
          <w:sz w:val="22"/>
          <w:szCs w:val="22"/>
        </w:rPr>
        <w:t xml:space="preserve">Change Monitoring Pipeline: watchers over legislation.gov.uk, HMRC manuals, and tribunal decisions feeding a human editorial queue. Described in Section 5.4.</w:t>
      </w:r>
    </w:p>
    <w:p>
      <w:pPr>
        <w:pStyle w:val="Heading1"/>
        <w:spacing w:after="200" w:before="360"/>
      </w:pPr>
      <w:r>
        <w:rPr>
          <w:rFonts w:ascii="Calibri" w:cs="Calibri" w:eastAsia="Calibri" w:hAnsi="Calibri"/>
          <w:b/>
          <w:bCs/>
          <w:color w:val="1F3864"/>
          <w:sz w:val="30"/>
          <w:szCs w:val="30"/>
        </w:rPr>
        <w:t xml:space="preserve">5. Modelling UK Tax Rules and Keeping Them Current</w:t>
      </w:r>
    </w:p>
    <w:p>
      <w:pPr>
        <w:spacing w:after="160" w:line="276"/>
      </w:pPr>
      <w:r>
        <w:rPr>
          <w:rFonts w:ascii="Calibri" w:cs="Calibri" w:eastAsia="Calibri" w:hAnsi="Calibri"/>
          <w:sz w:val="22"/>
          <w:szCs w:val="22"/>
        </w:rPr>
        <w:t xml:space="preserve">This is the hardest part of the product and the section that deserves the most scrutiny. Tax software fails in one of two ways: the rules are wrong, or the rules were right once and quietly went stale. The design below treats the rule base as a governed editorial product with software wrapped around it, not the other way round.</w:t>
      </w:r>
    </w:p>
    <w:p>
      <w:pPr>
        <w:pStyle w:val="Heading2"/>
        <w:spacing w:after="160" w:before="280"/>
      </w:pPr>
      <w:r>
        <w:rPr>
          <w:rFonts w:ascii="Calibri" w:cs="Calibri" w:eastAsia="Calibri" w:hAnsi="Calibri"/>
          <w:b/>
          <w:bCs/>
          <w:color w:val="2E5395"/>
          <w:sz w:val="26"/>
          <w:szCs w:val="26"/>
        </w:rPr>
        <w:t xml:space="preserve">5.1 Rules are data, not code</w:t>
      </w:r>
    </w:p>
    <w:p>
      <w:pPr>
        <w:spacing w:after="160" w:line="276"/>
      </w:pPr>
      <w:r>
        <w:rPr>
          <w:rFonts w:ascii="Calibri" w:cs="Calibri" w:eastAsia="Calibri" w:hAnsi="Calibri"/>
          <w:sz w:val="22"/>
          <w:szCs w:val="22"/>
        </w:rPr>
        <w:t xml:space="preserve">Hard-coding tax logic into application code is the classic mistake: every Budget then requires a software release, changes are invisible to non-programmers, and there is no audit trail of what the rules said on a given date. Instead, the rule base lives in PostgreSQL as structured records, editable by a qualified tax professional through the Django Admin, with the application code containing only small, generic, deterministic calculation functions that the rules parameterise.</w:t>
      </w:r>
    </w:p>
    <w:p>
      <w:pPr>
        <w:spacing w:after="160" w:line="276"/>
      </w:pPr>
      <w:r>
        <w:rPr>
          <w:rFonts w:ascii="Calibri" w:cs="Calibri" w:eastAsia="Calibri" w:hAnsi="Calibri"/>
          <w:sz w:val="22"/>
          <w:szCs w:val="22"/>
        </w:rPr>
        <w:t xml:space="preserve">Every rule record carries: a stable identifier; effective-from and effective-to dates (tax-year aware, since income tax, corporation tax, and IHT operate on different cycles); the parameter payload (rates, bands, thresholds, allowances, taper formulas) in JSONB; links to one or more authority records; a risk classification; and the rule-base release version in which it was introduced or amended. Nothing is ever deleted or overwritten: superseded rules are closed with an effective-to date, so the engine can compute both current-year advice and prior-year positions, and can reproduce historical advice exactly.</w:t>
      </w:r>
    </w:p>
    <w:p>
      <w:pPr>
        <w:pStyle w:val="Heading2"/>
        <w:spacing w:after="160" w:before="280"/>
      </w:pPr>
      <w:r>
        <w:rPr>
          <w:rFonts w:ascii="Calibri" w:cs="Calibri" w:eastAsia="Calibri" w:hAnsi="Calibri"/>
          <w:b/>
          <w:bCs/>
          <w:color w:val="2E5395"/>
          <w:sz w:val="26"/>
          <w:szCs w:val="26"/>
        </w:rPr>
        <w:t xml:space="preserve">5.2 A five-layer knowledge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3126"/>
        <w:gridCol w:w="1800"/>
      </w:tblGrid>
      <w:tr>
        <w:trPr>
          <w:tblHeader/>
        </w:trPr>
        <w:tc>
          <w:tcPr>
            <w:tcW w:type="dxa" w:w="14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Layer</w:t>
            </w:r>
          </w:p>
        </w:tc>
        <w:tc>
          <w:tcPr>
            <w:tcW w:type="dxa" w:w="27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Contents</w:t>
            </w:r>
          </w:p>
        </w:tc>
        <w:tc>
          <w:tcPr>
            <w:tcW w:type="dxa" w:w="3126"/>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Example</w:t>
            </w:r>
          </w:p>
        </w:tc>
        <w:tc>
          <w:tcPr>
            <w:tcW w:type="dxa" w:w="18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Changes how often</w:t>
            </w:r>
          </w:p>
        </w:tc>
      </w:tr>
      <w:tr>
        <w:tc>
          <w:tcPr>
            <w:tcW w:type="dxa" w:w="1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 Parameters</w:t>
            </w:r>
          </w:p>
        </w:tc>
        <w:tc>
          <w:tcPr>
            <w:tcW w:type="dxa" w:w="27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Rates, bands, thresholds, allowances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Personal allowance, CT main rate and marginal relief fraction, IHT nil-rate band, SDLT bands</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Every Finance Act; sometimes in-year</w:t>
            </w:r>
          </w:p>
        </w:tc>
      </w:tr>
      <w:tr>
        <w:tc>
          <w:tcPr>
            <w:tcW w:type="dxa" w:w="1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 Computation logic</w:t>
            </w:r>
          </w:p>
        </w:tc>
        <w:tc>
          <w:tcPr>
            <w:tcW w:type="dxa" w:w="27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Deterministic calculators the parameters feed</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Income tax liability, dividend vs salary comparison, IHT estate calculation, CGT with reliefs</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Rarely; only when a regime is restructured</w:t>
            </w:r>
          </w:p>
        </w:tc>
      </w:tr>
      <w:tr>
        <w:tc>
          <w:tcPr>
            <w:tcW w:type="dxa" w:w="1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 Strategies</w:t>
            </w:r>
          </w:p>
        </w:tc>
        <w:tc>
          <w:tcPr>
            <w:tcW w:type="dxa" w:w="27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Planning plays with eligibility conditions and quantification methods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Pension annual allowance carry-forward; spousal asset transfers; FIC; BPR/APR; EIS/SEIS/VCT; incorporation; holdover relief; PPR election; salary/dividend mix</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Continuously refined; the product's real IP</w:t>
            </w:r>
          </w:p>
        </w:tc>
      </w:tr>
      <w:tr>
        <w:tc>
          <w:tcPr>
            <w:tcW w:type="dxa" w:w="1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4. Authority</w:t>
            </w:r>
          </w:p>
        </w:tc>
        <w:tc>
          <w:tcPr>
            <w:tcW w:type="dxa" w:w="27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Citations underpinning each strategy and rule</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ITEPA 2003, ITTOIA 2005, CTA 2010, IHTA 1984 s.18; HMRC manuals (e.g. CG, PIM, EIM paragraphs); tribunal and court decisions</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As legislation, guidance, and cases evolve</w:t>
            </w:r>
          </w:p>
        </w:tc>
      </w:tr>
      <w:tr>
        <w:tc>
          <w:tcPr>
            <w:tcW w:type="dxa" w:w="1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5. Risk status</w:t>
            </w:r>
          </w:p>
        </w:tc>
        <w:tc>
          <w:tcPr>
            <w:tcW w:type="dxa" w:w="27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Settled / borderline / contested / untested; DOTAS and GAAR flags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 marketed scheme characteristic triggers a DOTAS flag; an arrangement type under active litigation is marked contested</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Reviewed on every relevant tribunal decision and HMRC Spotlight</w:t>
            </w:r>
          </w:p>
        </w:tc>
      </w:tr>
    </w:tbl>
    <w:p>
      <w:pPr>
        <w:spacing w:after="6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Each strategy record additionally carries the mandatory timeframe classification (short, medium, long term) and a plain-English explanation of why it is legal, generated once by the tax editor and stored, not generated per-request by a model.</w:t>
      </w:r>
    </w:p>
    <w:p>
      <w:pPr>
        <w:pStyle w:val="Heading2"/>
        <w:spacing w:after="160" w:before="280"/>
      </w:pPr>
      <w:r>
        <w:rPr>
          <w:rFonts w:ascii="Calibri" w:cs="Calibri" w:eastAsia="Calibri" w:hAnsi="Calibri"/>
          <w:b/>
          <w:bCs/>
          <w:color w:val="2E5395"/>
          <w:sz w:val="26"/>
          <w:szCs w:val="26"/>
        </w:rPr>
        <w:t xml:space="preserve">5.3 The calculation engine</w:t>
      </w:r>
    </w:p>
    <w:p>
      <w:pPr>
        <w:spacing w:after="160" w:line="276"/>
      </w:pPr>
      <w:r>
        <w:rPr>
          <w:rFonts w:ascii="Calibri" w:cs="Calibri" w:eastAsia="Calibri" w:hAnsi="Calibri"/>
          <w:sz w:val="22"/>
          <w:szCs w:val="22"/>
        </w:rPr>
        <w:t xml:space="preserve">Calculators are pure Python functions: given a client fact set, a tax year, and a rule-base version, they return the same answer every time. Each calculator is registered against the rule identifiers it consumes, so the system can answer the question 'which advice is affected if this rule changes?' mechanically. This is what makes the change pipeline in 5.4 safe: when a rule changes, the affected calculators and previously issued advice are identifiable by query, not by memory.</w:t>
      </w:r>
    </w:p>
    <w:p>
      <w:pPr>
        <w:pStyle w:val="Heading2"/>
        <w:spacing w:after="160" w:before="280"/>
      </w:pPr>
      <w:r>
        <w:rPr>
          <w:rFonts w:ascii="Calibri" w:cs="Calibri" w:eastAsia="Calibri" w:hAnsi="Calibri"/>
          <w:b/>
          <w:bCs/>
          <w:color w:val="2E5395"/>
          <w:sz w:val="26"/>
          <w:szCs w:val="26"/>
        </w:rPr>
        <w:t xml:space="preserve">5.4 The change monitoring pipeline</w:t>
      </w:r>
    </w:p>
    <w:p>
      <w:pPr>
        <w:spacing w:after="160" w:line="276"/>
      </w:pPr>
      <w:r>
        <w:rPr>
          <w:rFonts w:ascii="Calibri" w:cs="Calibri" w:eastAsia="Calibri" w:hAnsi="Calibri"/>
          <w:sz w:val="22"/>
          <w:szCs w:val="22"/>
        </w:rPr>
        <w:t xml:space="preserve">Sources, in order of authority:</w:t>
      </w:r>
    </w:p>
    <w:p>
      <w:pPr>
        <w:pStyle w:val="ListParagraph"/>
        <w:numPr>
          <w:ilvl w:val="0"/>
          <w:numId w:val="2"/>
        </w:numPr>
        <w:spacing w:after="100" w:line="276"/>
      </w:pPr>
      <w:r>
        <w:rPr>
          <w:rFonts w:ascii="Calibri" w:cs="Calibri" w:eastAsia="Calibri" w:hAnsi="Calibri"/>
          <w:sz w:val="22"/>
          <w:szCs w:val="22"/>
        </w:rPr>
        <w:t xml:space="preserve">Legislation: the legislation.gov.uk API (The National Archives) provides consolidated statute text and change feeds; Finance Bills tracked through parliament.uk. Budget and fiscal-event days are scheduled editorial events, not surprises.</w:t>
      </w:r>
    </w:p>
    <w:p>
      <w:pPr>
        <w:pStyle w:val="ListParagraph"/>
        <w:numPr>
          <w:ilvl w:val="0"/>
          <w:numId w:val="2"/>
        </w:numPr>
        <w:spacing w:after="100" w:line="276"/>
      </w:pPr>
      <w:r>
        <w:rPr>
          <w:rFonts w:ascii="Calibri" w:cs="Calibri" w:eastAsia="Calibri" w:hAnsi="Calibri"/>
          <w:sz w:val="22"/>
          <w:szCs w:val="22"/>
        </w:rPr>
        <w:t xml:space="preserve">HMRC guidance: HMRC manuals on gov.uk publish per-page change logs; the pipeline diffs watched manual pages (the specific paragraphs cited in the authority registry) and raises a review item when a cited paragraph changes. HMRC Agent Update and Spotlight publications are monitored for enforcement-posture changes.</w:t>
      </w:r>
    </w:p>
    <w:p>
      <w:pPr>
        <w:pStyle w:val="ListParagraph"/>
        <w:numPr>
          <w:ilvl w:val="0"/>
          <w:numId w:val="2"/>
        </w:numPr>
        <w:spacing w:after="100" w:line="276"/>
      </w:pPr>
      <w:r>
        <w:rPr>
          <w:rFonts w:ascii="Calibri" w:cs="Calibri" w:eastAsia="Calibri" w:hAnsi="Calibri"/>
          <w:sz w:val="22"/>
          <w:szCs w:val="22"/>
        </w:rPr>
        <w:t xml:space="preserve">Case law: First-tier Tribunal (Tax) and Upper Tribunal decisions via gov.uk decision listings and The National Archives' Find Case Law service; Court of Appeal and Supreme Court tax decisions. New decisions are triaged for relevance to cited authorities and flagged strategies.</w:t>
      </w:r>
    </w:p>
    <w:p>
      <w:pPr>
        <w:pStyle w:val="ListParagraph"/>
        <w:numPr>
          <w:ilvl w:val="0"/>
          <w:numId w:val="2"/>
        </w:numPr>
        <w:spacing w:after="100" w:line="276"/>
      </w:pPr>
      <w:r>
        <w:rPr>
          <w:rFonts w:ascii="Calibri" w:cs="Calibri" w:eastAsia="Calibri" w:hAnsi="Calibri"/>
          <w:sz w:val="22"/>
          <w:szCs w:val="22"/>
        </w:rPr>
        <w:t xml:space="preserve">Secondary monitoring: professional-body summaries (CIOT, ICAEW, ICAS) as a safety net to catch anything the primary feeds miss.</w:t>
      </w:r>
    </w:p>
    <w:p>
      <w:pPr>
        <w:spacing w:after="160" w:line="276"/>
      </w:pPr>
      <w:r>
        <w:rPr>
          <w:rFonts w:ascii="Calibri" w:cs="Calibri" w:eastAsia="Calibri" w:hAnsi="Calibri"/>
          <w:sz w:val="22"/>
          <w:szCs w:val="22"/>
        </w:rPr>
        <w:t xml:space="preserve">The pipeline is deliberately semi-automated. Watchers detect and diff; they never change a rule. Every detected change lands in an editorial queue where a human tax editor (see 5.6) assesses impact, drafts the rule amendment with updated citations and risk status, and a second reviewer approves. Only then is a new rule-base release cut. An LLM may be used inside this pipeline to summarise and pre-classify detected changes for the editor's convenience; its output is advisory and never writes to the rule base.</w:t>
      </w:r>
    </w:p>
    <w:p>
      <w:pPr>
        <w:pStyle w:val="Heading2"/>
        <w:spacing w:after="160" w:before="280"/>
      </w:pPr>
      <w:r>
        <w:rPr>
          <w:rFonts w:ascii="Calibri" w:cs="Calibri" w:eastAsia="Calibri" w:hAnsi="Calibri"/>
          <w:b/>
          <w:bCs/>
          <w:color w:val="2E5395"/>
          <w:sz w:val="26"/>
          <w:szCs w:val="26"/>
        </w:rPr>
        <w:t xml:space="preserve">5.5 Versioned releases and regression testing</w:t>
      </w:r>
    </w:p>
    <w:p>
      <w:pPr>
        <w:pStyle w:val="ListParagraph"/>
        <w:numPr>
          <w:ilvl w:val="0"/>
          <w:numId w:val="2"/>
        </w:numPr>
        <w:spacing w:after="100" w:line="276"/>
      </w:pPr>
      <w:r>
        <w:rPr>
          <w:rFonts w:ascii="Calibri" w:cs="Calibri" w:eastAsia="Calibri" w:hAnsi="Calibri"/>
          <w:sz w:val="22"/>
          <w:szCs w:val="22"/>
        </w:rPr>
        <w:t xml:space="preserve">Every rule-base release has a version number, a changelog, an effective date, and the identity of the editor and reviewer who approved it.</w:t>
      </w:r>
    </w:p>
    <w:p>
      <w:pPr>
        <w:pStyle w:val="ListParagraph"/>
        <w:numPr>
          <w:ilvl w:val="0"/>
          <w:numId w:val="2"/>
        </w:numPr>
        <w:spacing w:after="100" w:line="276"/>
      </w:pPr>
      <w:r>
        <w:rPr>
          <w:rFonts w:ascii="Calibri" w:cs="Calibri" w:eastAsia="Calibri" w:hAnsi="Calibri"/>
          <w:sz w:val="22"/>
          <w:szCs w:val="22"/>
        </w:rPr>
        <w:t xml:space="preserve">Every rule and strategy carries golden test cases: worked examples with known-correct outcomes, drawn from HMRC's own published examples wherever possible, plus edge cases at band boundaries. The full suite runs in CI on every proposed release; a release that changes any golden outcome without an accompanying rule change is blocked.</w:t>
      </w:r>
    </w:p>
    <w:p>
      <w:pPr>
        <w:pStyle w:val="ListParagraph"/>
        <w:numPr>
          <w:ilvl w:val="0"/>
          <w:numId w:val="2"/>
        </w:numPr>
        <w:spacing w:after="100" w:line="276"/>
      </w:pPr>
      <w:r>
        <w:rPr>
          <w:rFonts w:ascii="Calibri" w:cs="Calibri" w:eastAsia="Calibri" w:hAnsi="Calibri"/>
          <w:sz w:val="22"/>
          <w:szCs w:val="22"/>
        </w:rPr>
        <w:t xml:space="preserve">Every piece of advice ever generated is stamped with the rule-base version used, so 'what did the tool believe on 12 March 2027?' is answerable exactly.</w:t>
      </w:r>
    </w:p>
    <w:p>
      <w:pPr>
        <w:pStyle w:val="ListParagraph"/>
        <w:numPr>
          <w:ilvl w:val="0"/>
          <w:numId w:val="2"/>
        </w:numPr>
        <w:spacing w:after="100" w:line="276"/>
      </w:pPr>
      <w:r>
        <w:rPr>
          <w:rFonts w:ascii="Calibri" w:cs="Calibri" w:eastAsia="Calibri" w:hAnsi="Calibri"/>
          <w:sz w:val="22"/>
          <w:szCs w:val="22"/>
        </w:rPr>
        <w:t xml:space="preserve">When a release changes a rule that fed previously issued advice, the system can list affected clients per firm, enabling firms to proactively revisit advice. This is a genuine selling point: most small firms have no mechanism for this at all.</w:t>
      </w:r>
    </w:p>
    <w:p>
      <w:pPr>
        <w:pStyle w:val="Heading2"/>
        <w:spacing w:after="160" w:before="280"/>
      </w:pPr>
      <w:r>
        <w:rPr>
          <w:rFonts w:ascii="Calibri" w:cs="Calibri" w:eastAsia="Calibri" w:hAnsi="Calibri"/>
          <w:b/>
          <w:bCs/>
          <w:color w:val="2E5395"/>
          <w:sz w:val="26"/>
          <w:szCs w:val="26"/>
        </w:rPr>
        <w:t xml:space="preserve">5.6 Editorial governance: who keeps it current</w:t>
      </w:r>
    </w:p>
    <w:p>
      <w:pPr>
        <w:spacing w:after="160" w:line="276"/>
      </w:pPr>
      <w:r>
        <w:rPr>
          <w:rFonts w:ascii="Calibri" w:cs="Calibri" w:eastAsia="Calibri" w:hAnsi="Calibri"/>
          <w:sz w:val="22"/>
          <w:szCs w:val="22"/>
        </w:rPr>
        <w:t xml:space="preserve">Technology monitors; people decide. The operating model requires a named tax editor, a qualified professional (CTA and/or FCCA) engaged part-time at MVP, growing with the product, plus a second reviewer for four-eyes approval on every release. Budget reality: this is the product's largest recurring cost after launch and it cannot be cut. A tax planning product whose rule base is not professionally maintained is not a cheap product; it is a liability. At MVP, scope discipline (Section 10) keeps the maintained surface small enough for one part-time editor.</w:t>
      </w:r>
    </w:p>
    <w:p>
      <w:pPr>
        <w:pStyle w:val="Heading1"/>
        <w:spacing w:after="200" w:before="360"/>
      </w:pPr>
      <w:r>
        <w:rPr>
          <w:rFonts w:ascii="Calibri" w:cs="Calibri" w:eastAsia="Calibri" w:hAnsi="Calibri"/>
          <w:b/>
          <w:bCs/>
          <w:color w:val="1F3864"/>
          <w:sz w:val="30"/>
          <w:szCs w:val="30"/>
        </w:rPr>
        <w:t xml:space="preserve">6. Legal Citations and the Audit Trail</w:t>
      </w:r>
    </w:p>
    <w:p>
      <w:pPr>
        <w:pStyle w:val="Heading2"/>
        <w:spacing w:after="160" w:before="280"/>
      </w:pPr>
      <w:r>
        <w:rPr>
          <w:rFonts w:ascii="Calibri" w:cs="Calibri" w:eastAsia="Calibri" w:hAnsi="Calibri"/>
          <w:b/>
          <w:bCs/>
          <w:color w:val="2E5395"/>
          <w:sz w:val="26"/>
          <w:szCs w:val="26"/>
        </w:rPr>
        <w:t xml:space="preserve">6.1 The authority registry</w:t>
      </w:r>
    </w:p>
    <w:p>
      <w:pPr>
        <w:spacing w:after="160" w:line="276"/>
      </w:pPr>
      <w:r>
        <w:rPr>
          <w:rFonts w:ascii="Calibri" w:cs="Calibri" w:eastAsia="Calibri" w:hAnsi="Calibri"/>
          <w:sz w:val="22"/>
          <w:szCs w:val="22"/>
        </w:rPr>
        <w:t xml:space="preserve">Every authority the tool relies on is a first-class database record, not a text string inside advice. An authority record contains: the type (statute, statutory instrument, HMRC manual paragraph, tribunal decision, court judgment); the canonical citation (e.g. 'IHTA 1984 s.18', 'CG64200', '[2013] UKSC 26'); the canonical URI (legislation.gov.uk URIs are stable and designed for this; Find Case Law provides neutral-citation URIs); the date retrieved; the verbatim relevant extract; an archived snapshot of the source as retrieved (stored PDF/HTML, because gov.uk pages change and tribunal links rot); its current status (in force, amended, superseded, overruled, doubted); and links to every rule and strategy that relies on it.</w:t>
      </w:r>
    </w:p>
    <w:p>
      <w:pPr>
        <w:spacing w:after="160" w:line="276"/>
      </w:pPr>
      <w:r>
        <w:rPr>
          <w:rFonts w:ascii="Calibri" w:cs="Calibri" w:eastAsia="Calibri" w:hAnsi="Calibri"/>
          <w:sz w:val="22"/>
          <w:szCs w:val="22"/>
        </w:rPr>
        <w:t xml:space="preserve">Because status is a live field, an Upper Tribunal decision that overrules a position propagates by query: mark the authority 'overruled', and every dependent strategy is flagged for editorial review automatically.</w:t>
      </w:r>
    </w:p>
    <w:p>
      <w:pPr>
        <w:pStyle w:val="Heading2"/>
        <w:spacing w:after="160" w:before="280"/>
      </w:pPr>
      <w:r>
        <w:rPr>
          <w:rFonts w:ascii="Calibri" w:cs="Calibri" w:eastAsia="Calibri" w:hAnsi="Calibri"/>
          <w:b/>
          <w:bCs/>
          <w:color w:val="2E5395"/>
          <w:sz w:val="26"/>
          <w:szCs w:val="26"/>
        </w:rPr>
        <w:t xml:space="preserve">6.2 Immutable advice records</w:t>
      </w:r>
    </w:p>
    <w:p>
      <w:pPr>
        <w:spacing w:after="160" w:line="276"/>
      </w:pPr>
      <w:r>
        <w:rPr>
          <w:rFonts w:ascii="Calibri" w:cs="Calibri" w:eastAsia="Calibri" w:hAnsi="Calibri"/>
          <w:sz w:val="22"/>
          <w:szCs w:val="22"/>
        </w:rPr>
        <w:t xml:space="preserve">When the tool generates advice for a client, it writes an append-only advice record containing: a hash and snapshot of the client input data used; the rule-base version; the full set of strategies recommended with their quantifications; the exact authority records (by version) cited; the timeframe and risk flags shown; the rendered report as delivered; and the user, firm, and timestamp. Records are never edited; corrections are new records superseding old ones. This is the accountant's defence file: if HMRC challenges advice in 2030 that was given in 2026, the firm can produce precisely what the tool said, on what data, citing what authority as it stood at that date.</w:t>
      </w:r>
    </w:p>
    <w:p>
      <w:pPr>
        <w:pStyle w:val="Heading2"/>
        <w:spacing w:after="160" w:before="280"/>
      </w:pPr>
      <w:r>
        <w:rPr>
          <w:rFonts w:ascii="Calibri" w:cs="Calibri" w:eastAsia="Calibri" w:hAnsi="Calibri"/>
          <w:b/>
          <w:bCs/>
          <w:color w:val="2E5395"/>
          <w:sz w:val="26"/>
          <w:szCs w:val="26"/>
        </w:rPr>
        <w:t xml:space="preserve">6.3 Retention</w:t>
      </w:r>
    </w:p>
    <w:p>
      <w:pPr>
        <w:spacing w:after="160" w:line="276"/>
      </w:pPr>
      <w:r>
        <w:rPr>
          <w:rFonts w:ascii="Calibri" w:cs="Calibri" w:eastAsia="Calibri" w:hAnsi="Calibri"/>
          <w:sz w:val="22"/>
          <w:szCs w:val="22"/>
        </w:rPr>
        <w:t xml:space="preserve">Advice records and their snapshots are retained for a minimum of six years after the end of the relevant tax year (aligned with adviser record-keeping norms and HMRC assessment time limits, which extend to 20 years for deliberate behaviour; firms can elect longer retention). Retention policy is per-firm configurable with a floor, and interacts with UK GDPR storage-limitation duties via the lawful basis of legitimate interests in defending legal claims.</w:t>
      </w:r>
    </w:p>
    <w:p>
      <w:pPr>
        <w:pStyle w:val="Heading1"/>
        <w:spacing w:after="200" w:before="360"/>
      </w:pPr>
      <w:r>
        <w:rPr>
          <w:rFonts w:ascii="Calibri" w:cs="Calibri" w:eastAsia="Calibri" w:hAnsi="Calibri"/>
          <w:b/>
          <w:bCs/>
          <w:color w:val="1F3864"/>
          <w:sz w:val="30"/>
          <w:szCs w:val="30"/>
        </w:rPr>
        <w:t xml:space="preserve">7. Data Privacy and Security</w:t>
      </w:r>
    </w:p>
    <w:p>
      <w:pPr>
        <w:pStyle w:val="Heading2"/>
        <w:spacing w:after="160" w:before="280"/>
      </w:pPr>
      <w:r>
        <w:rPr>
          <w:rFonts w:ascii="Calibri" w:cs="Calibri" w:eastAsia="Calibri" w:hAnsi="Calibri"/>
          <w:b/>
          <w:bCs/>
          <w:color w:val="2E5395"/>
          <w:sz w:val="26"/>
          <w:szCs w:val="26"/>
        </w:rPr>
        <w:t xml:space="preserve">7.1 Legal position</w:t>
      </w:r>
    </w:p>
    <w:p>
      <w:pPr>
        <w:pStyle w:val="ListParagraph"/>
        <w:numPr>
          <w:ilvl w:val="0"/>
          <w:numId w:val="2"/>
        </w:numPr>
        <w:spacing w:after="100" w:line="276"/>
      </w:pPr>
      <w:r>
        <w:rPr>
          <w:rFonts w:ascii="Calibri" w:cs="Calibri" w:eastAsia="Calibri" w:hAnsi="Calibri"/>
          <w:sz w:val="22"/>
          <w:szCs w:val="22"/>
        </w:rPr>
        <w:t xml:space="preserve">Roles: the accounting firm is the data controller for its clients' personal data; the software company is a processor. A UK GDPR Article 28 data processing agreement is part of the standard terms of service. This allocation must be explicit; it is what small firms' own compliance reviews will look for.</w:t>
      </w:r>
    </w:p>
    <w:p>
      <w:pPr>
        <w:pStyle w:val="ListParagraph"/>
        <w:numPr>
          <w:ilvl w:val="0"/>
          <w:numId w:val="2"/>
        </w:numPr>
        <w:spacing w:after="100" w:line="276"/>
      </w:pPr>
      <w:r>
        <w:rPr>
          <w:rFonts w:ascii="Calibri" w:cs="Calibri" w:eastAsia="Calibri" w:hAnsi="Calibri"/>
          <w:sz w:val="22"/>
          <w:szCs w:val="22"/>
        </w:rPr>
        <w:t xml:space="preserve">Applicable law: UK GDPR and the Data Protection Act 2018, as amended by the Data (Use and Access) Act 2025 (Royal Assent June 2025, provisions commencing in stages through 2025-26). Two DUAA changes matter here: the relaxed automated decision-making framework, and the new statutory complaints-handling duties on controllers, which the product should support with an export function for firms.</w:t>
      </w:r>
    </w:p>
    <w:p>
      <w:pPr>
        <w:pStyle w:val="ListParagraph"/>
        <w:numPr>
          <w:ilvl w:val="0"/>
          <w:numId w:val="2"/>
        </w:numPr>
        <w:spacing w:after="100" w:line="276"/>
      </w:pPr>
      <w:r>
        <w:rPr>
          <w:rFonts w:ascii="Calibri" w:cs="Calibri" w:eastAsia="Calibri" w:hAnsi="Calibri"/>
          <w:sz w:val="22"/>
          <w:szCs w:val="22"/>
        </w:rPr>
        <w:t xml:space="preserve">Automated decision-making: even under the DUAA's more permissive regime, the product is deliberately designed as decision support. The accountant reviews and issues the advice; the tool never communicates with the end client directly. This keeps the firm on the right side of Article 22 as amended, and matches professional reality.</w:t>
      </w:r>
    </w:p>
    <w:p>
      <w:pPr>
        <w:pStyle w:val="ListParagraph"/>
        <w:numPr>
          <w:ilvl w:val="0"/>
          <w:numId w:val="2"/>
        </w:numPr>
        <w:spacing w:after="100" w:line="276"/>
      </w:pPr>
      <w:r>
        <w:rPr>
          <w:rFonts w:ascii="Calibri" w:cs="Calibri" w:eastAsia="Calibri" w:hAnsi="Calibri"/>
          <w:sz w:val="22"/>
          <w:szCs w:val="22"/>
        </w:rPr>
        <w:t xml:space="preserve">A Data Protection Impact Assessment is required before launch: large-scale processing of financial data qualifies. ICO registration for the software company; firms will hold their own.</w:t>
      </w:r>
    </w:p>
    <w:p>
      <w:pPr>
        <w:pStyle w:val="ListParagraph"/>
        <w:numPr>
          <w:ilvl w:val="0"/>
          <w:numId w:val="2"/>
        </w:numPr>
        <w:spacing w:after="100" w:line="276"/>
      </w:pPr>
      <w:r>
        <w:rPr>
          <w:rFonts w:ascii="Calibri" w:cs="Calibri" w:eastAsia="Calibri" w:hAnsi="Calibri"/>
          <w:sz w:val="22"/>
          <w:szCs w:val="22"/>
        </w:rPr>
        <w:t xml:space="preserve">No client personal data is sent to any third-party LLM API. The LLM narrative layer (Section 8) operates on structured, computed outputs with client identifiers pseudonymised, or runs against a UK/EU-hosted model under a processor agreement. This should be a written policy from day one, because it will be asked in every firm's due diligence.</w:t>
      </w:r>
    </w:p>
    <w:p>
      <w:pPr>
        <w:pStyle w:val="Heading2"/>
        <w:spacing w:after="160" w:before="280"/>
      </w:pPr>
      <w:r>
        <w:rPr>
          <w:rFonts w:ascii="Calibri" w:cs="Calibri" w:eastAsia="Calibri" w:hAnsi="Calibri"/>
          <w:b/>
          <w:bCs/>
          <w:color w:val="2E5395"/>
          <w:sz w:val="26"/>
          <w:szCs w:val="26"/>
        </w:rPr>
        <w:t xml:space="preserve">7.2 Security controls</w:t>
      </w:r>
    </w:p>
    <w:p>
      <w:pPr>
        <w:pStyle w:val="ListParagraph"/>
        <w:numPr>
          <w:ilvl w:val="0"/>
          <w:numId w:val="2"/>
        </w:numPr>
        <w:spacing w:after="100" w:line="276"/>
      </w:pPr>
      <w:r>
        <w:rPr>
          <w:rFonts w:ascii="Calibri" w:cs="Calibri" w:eastAsia="Calibri" w:hAnsi="Calibri"/>
          <w:sz w:val="22"/>
          <w:szCs w:val="22"/>
        </w:rPr>
        <w:t xml:space="preserve">UK-region hosting; encryption in transit (TLS 1.2+) and at rest (database and backups).</w:t>
      </w:r>
    </w:p>
    <w:p>
      <w:pPr>
        <w:pStyle w:val="ListParagraph"/>
        <w:numPr>
          <w:ilvl w:val="0"/>
          <w:numId w:val="2"/>
        </w:numPr>
        <w:spacing w:after="100" w:line="276"/>
      </w:pPr>
      <w:r>
        <w:rPr>
          <w:rFonts w:ascii="Calibri" w:cs="Calibri" w:eastAsia="Calibri" w:hAnsi="Calibri"/>
          <w:sz w:val="22"/>
          <w:szCs w:val="22"/>
        </w:rPr>
        <w:t xml:space="preserve">Multi-tenant isolation enforced in the database with PostgreSQL row-level security keyed to firm identity, not only in application code.</w:t>
      </w:r>
    </w:p>
    <w:p>
      <w:pPr>
        <w:pStyle w:val="ListParagraph"/>
        <w:numPr>
          <w:ilvl w:val="0"/>
          <w:numId w:val="2"/>
        </w:numPr>
        <w:spacing w:after="100" w:line="276"/>
      </w:pPr>
      <w:r>
        <w:rPr>
          <w:rFonts w:ascii="Calibri" w:cs="Calibri" w:eastAsia="Calibri" w:hAnsi="Calibri"/>
          <w:sz w:val="22"/>
          <w:szCs w:val="22"/>
        </w:rPr>
        <w:t xml:space="preserve">Role-based access within firms (partner, manager, staff) with per-client access controls; mandatory MFA; session controls.</w:t>
      </w:r>
    </w:p>
    <w:p>
      <w:pPr>
        <w:pStyle w:val="ListParagraph"/>
        <w:numPr>
          <w:ilvl w:val="0"/>
          <w:numId w:val="2"/>
        </w:numPr>
        <w:spacing w:after="100" w:line="276"/>
      </w:pPr>
      <w:r>
        <w:rPr>
          <w:rFonts w:ascii="Calibri" w:cs="Calibri" w:eastAsia="Calibri" w:hAnsi="Calibri"/>
          <w:sz w:val="22"/>
          <w:szCs w:val="22"/>
        </w:rPr>
        <w:t xml:space="preserve">Comprehensive audit logging of access to client records, not only changes.</w:t>
      </w:r>
    </w:p>
    <w:p>
      <w:pPr>
        <w:pStyle w:val="ListParagraph"/>
        <w:numPr>
          <w:ilvl w:val="0"/>
          <w:numId w:val="2"/>
        </w:numPr>
        <w:spacing w:after="100" w:line="276"/>
      </w:pPr>
      <w:r>
        <w:rPr>
          <w:rFonts w:ascii="Calibri" w:cs="Calibri" w:eastAsia="Calibri" w:hAnsi="Calibri"/>
          <w:sz w:val="22"/>
          <w:szCs w:val="22"/>
        </w:rPr>
        <w:t xml:space="preserve">Daily encrypted backups with tested restores; documented incident-response and breach-notification procedure (72-hour ICO window).</w:t>
      </w:r>
    </w:p>
    <w:p>
      <w:pPr>
        <w:pStyle w:val="ListParagraph"/>
        <w:numPr>
          <w:ilvl w:val="0"/>
          <w:numId w:val="2"/>
        </w:numPr>
        <w:spacing w:after="100" w:line="276"/>
      </w:pPr>
      <w:r>
        <w:rPr>
          <w:rFonts w:ascii="Calibri" w:cs="Calibri" w:eastAsia="Calibri" w:hAnsi="Calibri"/>
          <w:sz w:val="22"/>
          <w:szCs w:val="22"/>
        </w:rPr>
        <w:t xml:space="preserve">Cyber Essentials certification at launch, Cyber Essentials Plus and an independent penetration test before Phase 2 (MTD API connectivity), which HMRC's own standards for software vendors will in any case require.</w:t>
      </w:r>
    </w:p>
    <w:p>
      <w:pPr>
        <w:pStyle w:val="ListParagraph"/>
        <w:numPr>
          <w:ilvl w:val="0"/>
          <w:numId w:val="2"/>
        </w:numPr>
        <w:spacing w:after="100" w:line="276"/>
      </w:pPr>
      <w:r>
        <w:rPr>
          <w:rFonts w:ascii="Calibri" w:cs="Calibri" w:eastAsia="Calibri" w:hAnsi="Calibri"/>
          <w:sz w:val="22"/>
          <w:szCs w:val="22"/>
        </w:rPr>
        <w:t xml:space="preserve">Dependency scanning and patching in CI (free tooling: Dependabot, pip-audit).</w:t>
      </w:r>
    </w:p>
    <w:p>
      <w:pPr>
        <w:pStyle w:val="Heading1"/>
        <w:spacing w:after="200" w:before="360"/>
      </w:pPr>
      <w:r>
        <w:rPr>
          <w:rFonts w:ascii="Calibri" w:cs="Calibri" w:eastAsia="Calibri" w:hAnsi="Calibri"/>
          <w:b/>
          <w:bCs/>
          <w:color w:val="1F3864"/>
          <w:sz w:val="30"/>
          <w:szCs w:val="30"/>
        </w:rPr>
        <w:t xml:space="preserve">8. AI/LLM Components versus the Deterministic Rules Engine</w:t>
      </w:r>
    </w:p>
    <w:p>
      <w:pPr>
        <w:spacing w:after="160" w:line="276"/>
      </w:pPr>
      <w:r>
        <w:rPr>
          <w:rFonts w:ascii="Calibri" w:cs="Calibri" w:eastAsia="Calibri" w:hAnsi="Calibri"/>
          <w:sz w:val="22"/>
          <w:szCs w:val="22"/>
        </w:rPr>
        <w:t xml:space="preserve">The honest position first: large language models are unsafe as the source of tax computations, legal citations, or risk classifications. They fabricate plausible citations, they cannot guarantee numerical consistency, and their output cannot be reproduced exactly years later, which destroys the audit property this product is built on. Any architecture in which an LLM 'reads the client data and writes the advice' is not fixable with prompt engineering and would be professionally indefensible for the accountants relying on it.</w:t>
      </w:r>
    </w:p>
    <w:p>
      <w:pPr>
        <w:spacing w:after="160" w:line="276"/>
      </w:pPr>
      <w:r>
        <w:rPr>
          <w:rFonts w:ascii="Calibri" w:cs="Calibri" w:eastAsia="Calibri" w:hAnsi="Calibri"/>
          <w:sz w:val="22"/>
          <w:szCs w:val="22"/>
        </w:rPr>
        <w:t xml:space="preserve">The deterministic engine is therefore authoritative for everything that carries liability: eligibility decisions, quantifications, citations, timeframes, and risk flags. LLMs earn their place in three bounded roles where they add real value and their failure modes are contained: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Role</w:t>
            </w:r>
          </w:p>
        </w:tc>
        <w:tc>
          <w:tcPr>
            <w:tcW w:type="dxa" w:w="38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What the LLM does</w:t>
            </w:r>
          </w:p>
        </w:tc>
        <w:tc>
          <w:tcPr>
            <w:tcW w:type="dxa" w:w="3426"/>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Guardrails</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Narrative drafting</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Turns the engine's structured advice payload (figures, strategies, citations already fixed) into readable, client-facing prose in the firm's tone.</w:t>
            </w:r>
          </w:p>
        </w:tc>
        <w:tc>
          <w:tcPr>
            <w:tcW w:type="dxa" w:w="34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 validator rejects any draft that introduces numbers, citations, or strategy names not present in the payload; the accountant reviews before issue; pseudonymised inputs only.</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Change triage</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Summarises and pre-classifies detected legislative, guidance, and case-law changes for the tax editor's queue.</w:t>
            </w:r>
          </w:p>
        </w:tc>
        <w:tc>
          <w:tcPr>
            <w:tcW w:type="dxa" w:w="34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Advisory only; never writes to the rule base; the editor reads the primary source before acting.</w:t>
            </w:r>
          </w:p>
        </w:tc>
      </w:tr>
      <w:tr>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Internal research search</w:t>
            </w:r>
          </w:p>
        </w:tc>
        <w:tc>
          <w:tcPr>
            <w:tcW w:type="dxa" w:w="3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Retrieval-augmented search over the firm's authority registry and archived sources, returning quoted extracts with their registry links.</w:t>
            </w:r>
          </w:p>
        </w:tc>
        <w:tc>
          <w:tcPr>
            <w:tcW w:type="dxa" w:w="34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Answers must quote and link registry records; no open-web generation; used by professionals, not shown to clients.</w:t>
            </w:r>
          </w:p>
        </w:tc>
      </w:tr>
    </w:tbl>
    <w:p>
      <w:pPr>
        <w:spacing w:after="6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All three are optional layers. The MVP works, and is sellable, with none of them; narrative drafting is the first worth adding because report-writing time is a cost firms feel directly. This ordering also keeps the cheapest possible MVP genuinely cheap: no per-token costs, no model-vendor dependency, no AI clause in the DPA until Phase 2.</w:t>
      </w:r>
    </w:p>
    <w:p>
      <w:pPr>
        <w:pStyle w:val="Heading1"/>
        <w:spacing w:after="200" w:before="360"/>
      </w:pPr>
      <w:r>
        <w:rPr>
          <w:rFonts w:ascii="Calibri" w:cs="Calibri" w:eastAsia="Calibri" w:hAnsi="Calibri"/>
          <w:b/>
          <w:bCs/>
          <w:color w:val="1F3864"/>
          <w:sz w:val="30"/>
          <w:szCs w:val="30"/>
        </w:rPr>
        <w:t xml:space="preserve">9. Regulatory and Professional Context</w:t>
      </w:r>
    </w:p>
    <w:p>
      <w:pPr>
        <w:pStyle w:val="ListParagraph"/>
        <w:numPr>
          <w:ilvl w:val="0"/>
          <w:numId w:val="2"/>
        </w:numPr>
        <w:spacing w:after="100" w:line="276"/>
      </w:pPr>
      <w:r>
        <w:rPr>
          <w:rFonts w:ascii="Calibri" w:cs="Calibri" w:eastAsia="Calibri" w:hAnsi="Calibri"/>
          <w:sz w:val="22"/>
          <w:szCs w:val="22"/>
        </w:rPr>
        <w:t xml:space="preserve">The tool is decision support for regulated agents. The accountant, bound by Professional Conduct in Relation to Taxation (PCRT) if a member of CIOT, ATT, ICAEW, ACCA, ICAS, or other subscribing bodies, remains the adviser of record. Terms of use must state this plainly, and the product should make it operationally true: advice is released to clients by the professional, not by the system.</w:t>
      </w:r>
    </w:p>
    <w:p>
      <w:pPr>
        <w:pStyle w:val="ListParagraph"/>
        <w:numPr>
          <w:ilvl w:val="0"/>
          <w:numId w:val="2"/>
        </w:numPr>
        <w:spacing w:after="100" w:line="276"/>
      </w:pPr>
      <w:r>
        <w:rPr>
          <w:rFonts w:ascii="Calibri" w:cs="Calibri" w:eastAsia="Calibri" w:hAnsi="Calibri"/>
          <w:sz w:val="22"/>
          <w:szCs w:val="22"/>
        </w:rPr>
        <w:t xml:space="preserve">DOTAS and GAAR: the rule base flags strategies exhibiting DOTAS-notifiable hallmarks and arrangements with GAAR exposure. Disclosure obligations themselves rest with promoters and advisers; the tool's job is to make sure no firm stumbles into a notifiable position unknowingly. HMRC Spotlights feed the risk-status layer.</w:t>
      </w:r>
    </w:p>
    <w:p>
      <w:pPr>
        <w:pStyle w:val="ListParagraph"/>
        <w:numPr>
          <w:ilvl w:val="0"/>
          <w:numId w:val="2"/>
        </w:numPr>
        <w:spacing w:after="100" w:line="276"/>
      </w:pPr>
      <w:r>
        <w:rPr>
          <w:rFonts w:ascii="Calibri" w:cs="Calibri" w:eastAsia="Calibri" w:hAnsi="Calibri"/>
          <w:sz w:val="22"/>
          <w:szCs w:val="22"/>
        </w:rPr>
        <w:t xml:space="preserve">Professional indemnity: firms' PII positions are strengthened, not weakened, by the audit trail in Section 6; this is a marketing point, but it also means the audit trail must never be compromised for convenience.</w:t>
      </w:r>
    </w:p>
    <w:p>
      <w:pPr>
        <w:pStyle w:val="ListParagraph"/>
        <w:numPr>
          <w:ilvl w:val="0"/>
          <w:numId w:val="2"/>
        </w:numPr>
        <w:spacing w:after="100" w:line="276"/>
      </w:pPr>
      <w:r>
        <w:rPr>
          <w:rFonts w:ascii="Calibri" w:cs="Calibri" w:eastAsia="Calibri" w:hAnsi="Calibri"/>
          <w:sz w:val="22"/>
          <w:szCs w:val="22"/>
        </w:rPr>
        <w:t xml:space="preserve">The software company itself should carry professional indemnity and cyber insurance, and its terms must be clear that it provides software and research infrastructure, not tax advice.</w:t>
      </w:r>
    </w:p>
    <w:p>
      <w:pPr>
        <w:pStyle w:val="Heading1"/>
        <w:spacing w:after="200" w:before="360"/>
      </w:pPr>
      <w:r>
        <w:rPr>
          <w:rFonts w:ascii="Calibri" w:cs="Calibri" w:eastAsia="Calibri" w:hAnsi="Calibri"/>
          <w:b/>
          <w:bCs/>
          <w:color w:val="1F3864"/>
          <w:sz w:val="30"/>
          <w:szCs w:val="30"/>
        </w:rPr>
        <w:t xml:space="preserve">10. Build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526"/>
        <w:gridCol w:w="1800"/>
      </w:tblGrid>
      <w:tr>
        <w:trPr>
          <w:tblHeader/>
        </w:trPr>
        <w:tc>
          <w:tcPr>
            <w:tcW w:type="dxa" w:w="15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Phase</w:t>
            </w:r>
          </w:p>
        </w:tc>
        <w:tc>
          <w:tcPr>
            <w:tcW w:type="dxa" w:w="12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Duration</w:t>
            </w:r>
          </w:p>
        </w:tc>
        <w:tc>
          <w:tcPr>
            <w:tcW w:type="dxa" w:w="4526"/>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Scope</w:t>
            </w:r>
          </w:p>
        </w:tc>
        <w:tc>
          <w:tcPr>
            <w:tcW w:type="dxa" w:w="18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Cost driver</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Phase 0: Rule-base pilot</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Weeks 1-8</w:t>
            </w:r>
          </w:p>
        </w:tc>
        <w:tc>
          <w:tcPr>
            <w:tcW w:type="dxa" w:w="45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 product build. Author the rule base for one domain: personal income tax planning for owner-managers (salary/dividend mix, pensions including carry-forward, basic reliefs), roughly 20-30 strategies with full citations, risk flags, and golden tests, in spreadsheets plus a thin Python calculation prototype. Validate output quality with 3-5 friendly firms.</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Tax editor time. This phase proves the product's core claim before any software money is spent.</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Phase 1: MVP</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Months 3-8</w:t>
            </w:r>
          </w:p>
        </w:tc>
        <w:tc>
          <w:tcPr>
            <w:tcW w:type="dxa" w:w="45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Django application: firm accounts and roles, manual client data entry plus CSV import, personal income tax and the corporation tax strategies that interact with it, authority registry, advice generation with citations, timeframes and risk flags, branded PDF reports, immutable advice records, UK hosting, DPIA and Cyber Essentials. No integrations, no LLM.</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One experienced full-stack Django contractor plus part-time tax editor. This is the leanest build that a firm would pay for.</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Phase 2: Breadth + MTD</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Months 9-14</w:t>
            </w:r>
          </w:p>
        </w:tc>
        <w:tc>
          <w:tcPr>
            <w:tcW w:type="dxa" w:w="45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IHT module and property module (CGT, SDLT considerations, PPR), cross-cutting strategies spanning multiple taxes, HMRC MTD API read-integration (agent authorisation flow; pre-population of income data now flowing quarterly since MTD for Income Tax went live in April 2026, expanding April 2027), LLM narrative drafting layer with validator, Cyber Essentials Plus and penetration test (required posture for HMRC API connectivity).</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HMRC recognition process and security uplift; second developer part-time.</w:t>
            </w:r>
          </w:p>
        </w:tc>
      </w:tr>
      <w:tr>
        <w:tc>
          <w:tcPr>
            <w:tcW w:type="dxa" w:w="15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Phase 3: Full scope</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Month 15+</w:t>
            </w:r>
          </w:p>
        </w:tc>
        <w:tc>
          <w:tcPr>
            <w:tcW w:type="dxa" w:w="45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Practice-management and bookkeeping imports (IRIS, TaxCalc, Xero, QuickBooks), multi-client scenario modelling, firm-level planning analytics, change-impact alerts to firms when rule releases affect their issued advice, possible white-labelling.</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Driven by revenue; each integration is justified by firm demand, not built speculatively.</w:t>
            </w:r>
          </w:p>
        </w:tc>
      </w:tr>
    </w:tbl>
    <w:p>
      <w:pPr>
        <w:spacing w:after="6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Phasing logic: Phase 0 spends almost nothing and tests the only genuinely risky assumption, that a maintained rule base can produce advice good enough that small firms will pay. If Phase 0 fails, the correct decision is not to build the software. MTD integration is placed in Phase 2 deliberately: it is valuable (it removes data-entry friction, the MVP's weakest point) but it brings HMRC recognition requirements and security obligations that would slow and inflate the MVP.</w:t>
      </w:r>
    </w:p>
    <w:p>
      <w:pPr>
        <w:pStyle w:val="Heading1"/>
        <w:spacing w:after="200" w:before="360"/>
      </w:pPr>
      <w:r>
        <w:rPr>
          <w:rFonts w:ascii="Calibri" w:cs="Calibri" w:eastAsia="Calibri" w:hAnsi="Calibri"/>
          <w:b/>
          <w:bCs/>
          <w:color w:val="1F3864"/>
          <w:sz w:val="30"/>
          <w:szCs w:val="30"/>
        </w:rPr>
        <w:t xml:space="preserve">11.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Risk</w:t>
            </w:r>
          </w:p>
        </w:tc>
        <w:tc>
          <w:tcPr>
            <w:tcW w:type="dxa" w:w="2400"/>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Impact</w:t>
            </w:r>
          </w:p>
        </w:tc>
        <w:tc>
          <w:tcPr>
            <w:tcW w:type="dxa" w:w="4226"/>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Mitigation</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Rule base goes stale or contains an error that reaches a client</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existential risk: wrong advice, professional and reputational damage</w:t>
            </w:r>
          </w:p>
        </w:tc>
        <w:tc>
          <w:tcPr>
            <w:tcW w:type="dxa" w:w="42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Editorial governance with four-eyes review; golden regression tests on every release; change pipeline over primary sources; affected-advice queries on every rule change; decision-support framing keeps the professional's review in the loop</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Recurring editorial cost is underestimated</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Product quality quietly decays after launch</w:t>
            </w:r>
          </w:p>
        </w:tc>
        <w:tc>
          <w:tcPr>
            <w:tcW w:type="dxa" w:w="42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Treat the tax editor as a permanent cost of goods sold in pricing from day one; keep the maintained scope narrow until revenue supports expansion</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 flagged (borderline/contested) strategy is acted on and later fails at tribunal</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Firm and vendor blame dispute</w:t>
            </w:r>
          </w:p>
        </w:tc>
        <w:tc>
          <w:tcPr>
            <w:tcW w:type="dxa" w:w="42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Risk flags are prominent and unremovable in reports; terms of use allocate the recommendation decision to the professional; audit trail proves what was disclosed</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Data breach of client financial data</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ICO enforcement, firm exodus</w:t>
            </w:r>
          </w:p>
        </w:tc>
        <w:tc>
          <w:tcPr>
            <w:tcW w:type="dxa" w:w="42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Section 7 controls; minimal data collection; UK hosting; tested incident response; insurance</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LLM introduces an error into client-facing narrative</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Silent inaccuracy in reports</w:t>
            </w:r>
          </w:p>
        </w:tc>
        <w:tc>
          <w:tcPr>
            <w:tcW w:type="dxa" w:w="42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Validator blocks unsourced numbers and citations; professional review; LLM layer entirely optional and off by default at MVP</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HMRC API access requirements delay Phase 2</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Integration slips</w:t>
            </w:r>
          </w:p>
        </w:tc>
        <w:tc>
          <w:tcPr>
            <w:tcW w:type="dxa" w:w="42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MVP does not depend on it; begin HMRC developer-hub recognition process early in Phase 1</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Cheap-as-possible pressure cuts the wrong corner</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Security or audit shortcuts that cannot be retrofitted</w:t>
            </w:r>
          </w:p>
        </w:tc>
        <w:tc>
          <w:tcPr>
            <w:tcW w:type="dxa" w:w="42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non-negotiables are named in this document: authority registry, immutable advice records, row-level security, editorial review. Everything else can be cut or deferred; these cannot.</w:t>
            </w:r>
          </w:p>
        </w:tc>
      </w:tr>
    </w:tbl>
    <w:p>
      <w:pPr>
        <w:pStyle w:val="Heading1"/>
        <w:spacing w:after="200" w:before="360"/>
      </w:pPr>
      <w:r>
        <w:rPr>
          <w:rFonts w:ascii="Calibri" w:cs="Calibri" w:eastAsia="Calibri" w:hAnsi="Calibri"/>
          <w:b/>
          <w:bCs/>
          <w:color w:val="1F3864"/>
          <w:sz w:val="30"/>
          <w:szCs w:val="30"/>
        </w:rPr>
        <w:t xml:space="preserve">12. Assumptions</w:t>
      </w:r>
    </w:p>
    <w:p>
      <w:pPr>
        <w:pStyle w:val="ListParagraph"/>
        <w:numPr>
          <w:ilvl w:val="0"/>
          <w:numId w:val="2"/>
        </w:numPr>
        <w:spacing w:after="100" w:line="276"/>
      </w:pPr>
      <w:r>
        <w:rPr>
          <w:rFonts w:ascii="Calibri" w:cs="Calibri" w:eastAsia="Calibri" w:hAnsi="Calibri"/>
          <w:sz w:val="22"/>
          <w:szCs w:val="22"/>
        </w:rPr>
        <w:t xml:space="preserve">Advice output is consumed by accounting professionals who review it before it reaches end clients; the product is never marketed direct-to-consumer.</w:t>
      </w:r>
    </w:p>
    <w:p>
      <w:pPr>
        <w:pStyle w:val="ListParagraph"/>
        <w:numPr>
          <w:ilvl w:val="0"/>
          <w:numId w:val="2"/>
        </w:numPr>
        <w:spacing w:after="100" w:line="276"/>
      </w:pPr>
      <w:r>
        <w:rPr>
          <w:rFonts w:ascii="Calibri" w:cs="Calibri" w:eastAsia="Calibri" w:hAnsi="Calibri"/>
          <w:sz w:val="22"/>
          <w:szCs w:val="22"/>
        </w:rPr>
        <w:t xml:space="preserve">A qualified tax professional (internal or contracted) is available part-time from Phase 0 to author and maintain the rule base.</w:t>
      </w:r>
    </w:p>
    <w:p>
      <w:pPr>
        <w:pStyle w:val="ListParagraph"/>
        <w:numPr>
          <w:ilvl w:val="0"/>
          <w:numId w:val="2"/>
        </w:numPr>
        <w:spacing w:after="100" w:line="276"/>
      </w:pPr>
      <w:r>
        <w:rPr>
          <w:rFonts w:ascii="Calibri" w:cs="Calibri" w:eastAsia="Calibri" w:hAnsi="Calibri"/>
          <w:sz w:val="22"/>
          <w:szCs w:val="22"/>
        </w:rPr>
        <w:t xml:space="preserve">MVP concurrency is modest (tens of firms, hundreds of users), so a single application server and managed PostgreSQL suffice.</w:t>
      </w:r>
    </w:p>
    <w:p>
      <w:pPr>
        <w:pStyle w:val="ListParagraph"/>
        <w:numPr>
          <w:ilvl w:val="0"/>
          <w:numId w:val="2"/>
        </w:numPr>
        <w:spacing w:after="100" w:line="276"/>
      </w:pPr>
      <w:r>
        <w:rPr>
          <w:rFonts w:ascii="Calibri" w:cs="Calibri" w:eastAsia="Calibri" w:hAnsi="Calibri"/>
          <w:sz w:val="22"/>
          <w:szCs w:val="22"/>
        </w:rPr>
        <w:t xml:space="preserve">English and Welsh tax law scope at MVP; Scottish income tax rates and Welsh LTT/Scottish LBTT handled as parameter variants where they diverge, with full devolved-tax strategy coverage deferred to Phase 2+.</w:t>
      </w:r>
    </w:p>
    <w:p>
      <w:pPr>
        <w:pStyle w:val="ListParagraph"/>
        <w:numPr>
          <w:ilvl w:val="0"/>
          <w:numId w:val="2"/>
        </w:numPr>
        <w:spacing w:after="100" w:line="276"/>
      </w:pPr>
      <w:r>
        <w:rPr>
          <w:rFonts w:ascii="Calibri" w:cs="Calibri" w:eastAsia="Calibri" w:hAnsi="Calibri"/>
          <w:sz w:val="22"/>
          <w:szCs w:val="22"/>
        </w:rPr>
        <w:t xml:space="preserve">Pricing is subscription per firm, which funds the recurring editorial cost.</w:t>
      </w:r>
    </w:p>
    <w:p>
      <w:pPr>
        <w:pStyle w:val="ListParagraph"/>
        <w:numPr>
          <w:ilvl w:val="0"/>
          <w:numId w:val="2"/>
        </w:numPr>
        <w:spacing w:after="100" w:line="276"/>
      </w:pPr>
      <w:r>
        <w:rPr>
          <w:rFonts w:ascii="Calibri" w:cs="Calibri" w:eastAsia="Calibri" w:hAnsi="Calibri"/>
          <w:sz w:val="22"/>
          <w:szCs w:val="22"/>
        </w:rPr>
        <w:t xml:space="preserve">No advice is given on matters requiring FCA authorisation (regulated investment advice); strategies touching investments (e.g. EIS) are framed as tax-treatment analysis, with the perimeter reviewed by a solicitor before launch.</w:t>
      </w:r>
    </w:p>
    <w:p>
      <w:pPr>
        <w:pStyle w:val="Heading1"/>
        <w:spacing w:after="200" w:before="360"/>
      </w:pPr>
      <w:r>
        <w:rPr>
          <w:rFonts w:ascii="Calibri" w:cs="Calibri" w:eastAsia="Calibri" w:hAnsi="Calibri"/>
          <w:b/>
          <w:bCs/>
          <w:color w:val="1F3864"/>
          <w:sz w:val="30"/>
          <w:szCs w:val="30"/>
        </w:rPr>
        <w:t xml:space="preserve">13. Recommendations and Next Steps</w:t>
      </w:r>
    </w:p>
    <w:p>
      <w:pPr>
        <w:pStyle w:val="ListParagraph"/>
        <w:numPr>
          <w:ilvl w:val="0"/>
          <w:numId w:val="2"/>
        </w:numPr>
        <w:spacing w:after="100" w:line="276"/>
      </w:pPr>
      <w:r>
        <w:rPr>
          <w:rFonts w:ascii="Calibri" w:cs="Calibri" w:eastAsia="Calibri" w:hAnsi="Calibri"/>
          <w:sz w:val="22"/>
          <w:szCs w:val="22"/>
        </w:rPr>
        <w:t xml:space="preserve">Approve the stack: Django, PostgreSQL, server-rendered frontend, UK-region managed hosting.</w:t>
      </w:r>
    </w:p>
    <w:p>
      <w:pPr>
        <w:pStyle w:val="ListParagraph"/>
        <w:numPr>
          <w:ilvl w:val="0"/>
          <w:numId w:val="2"/>
        </w:numPr>
        <w:spacing w:after="100" w:line="276"/>
      </w:pPr>
      <w:r>
        <w:rPr>
          <w:rFonts w:ascii="Calibri" w:cs="Calibri" w:eastAsia="Calibri" w:hAnsi="Calibri"/>
          <w:sz w:val="22"/>
          <w:szCs w:val="22"/>
        </w:rPr>
        <w:t xml:space="preserve">Commission Phase 0 immediately: it needs a tax editor and a spreadsheet before it needs a developer. Define the owner-manager strategy list (target 20-30 strategies) and begin authoring with citations and golden tests.</w:t>
      </w:r>
    </w:p>
    <w:p>
      <w:pPr>
        <w:pStyle w:val="ListParagraph"/>
        <w:numPr>
          <w:ilvl w:val="0"/>
          <w:numId w:val="2"/>
        </w:numPr>
        <w:spacing w:after="100" w:line="276"/>
      </w:pPr>
      <w:r>
        <w:rPr>
          <w:rFonts w:ascii="Calibri" w:cs="Calibri" w:eastAsia="Calibri" w:hAnsi="Calibri"/>
          <w:sz w:val="22"/>
          <w:szCs w:val="22"/>
        </w:rPr>
        <w:t xml:space="preserve">Recruit 3-5 friendly small firms as a pilot panel now; their reaction to Phase 0 output is the go/no-go gate for Phase 1 spend.</w:t>
      </w:r>
    </w:p>
    <w:p>
      <w:pPr>
        <w:pStyle w:val="ListParagraph"/>
        <w:numPr>
          <w:ilvl w:val="0"/>
          <w:numId w:val="2"/>
        </w:numPr>
        <w:spacing w:after="100" w:line="276"/>
      </w:pPr>
      <w:r>
        <w:rPr>
          <w:rFonts w:ascii="Calibri" w:cs="Calibri" w:eastAsia="Calibri" w:hAnsi="Calibri"/>
          <w:sz w:val="22"/>
          <w:szCs w:val="22"/>
        </w:rPr>
        <w:t xml:space="preserve">Draft the two legal foundations early: the Article 28 processor terms and the terms of use establishing the decision-support boundary. Both shape the build.</w:t>
      </w:r>
    </w:p>
    <w:p>
      <w:pPr>
        <w:pStyle w:val="ListParagraph"/>
        <w:numPr>
          <w:ilvl w:val="0"/>
          <w:numId w:val="2"/>
        </w:numPr>
        <w:spacing w:after="100" w:line="276"/>
      </w:pPr>
      <w:r>
        <w:rPr>
          <w:rFonts w:ascii="Calibri" w:cs="Calibri" w:eastAsia="Calibri" w:hAnsi="Calibri"/>
          <w:sz w:val="22"/>
          <w:szCs w:val="22"/>
        </w:rPr>
        <w:t xml:space="preserve">Register on the HMRC Developer Hub during Phase 1 to start the MTD recognition clock even though integration lands in Phase 2.</w:t>
      </w:r>
    </w:p>
    <w:p>
      <w:pPr>
        <w:pStyle w:val="ListParagraph"/>
        <w:numPr>
          <w:ilvl w:val="0"/>
          <w:numId w:val="2"/>
        </w:numPr>
        <w:spacing w:after="100" w:line="276"/>
      </w:pPr>
      <w:r>
        <w:rPr>
          <w:rFonts w:ascii="Calibri" w:cs="Calibri" w:eastAsia="Calibri" w:hAnsi="Calibri"/>
          <w:sz w:val="22"/>
          <w:szCs w:val="22"/>
        </w:rPr>
        <w:t xml:space="preserve">Decide the tax editor engagement model (contracted CTA vs your own FCCA capacity) before Phase 0 starts, since editorial capacity is the schedule's critical path.</w:t>
      </w:r>
    </w:p>
    <w:p>
      <w:pPr>
        <w:pStyle w:val="Heading1"/>
        <w:spacing w:after="200" w:before="360"/>
      </w:pPr>
      <w:r>
        <w:rPr>
          <w:rFonts w:ascii="Calibri" w:cs="Calibri" w:eastAsia="Calibri" w:hAnsi="Calibri"/>
          <w:b/>
          <w:bCs/>
          <w:color w:val="1F3864"/>
          <w:sz w:val="30"/>
          <w:szCs w:val="30"/>
        </w:rPr>
        <w:t xml:space="preserve">Appendix: Key Reference Sources</w:t>
      </w:r>
    </w:p>
    <w:p>
      <w:pPr>
        <w:pStyle w:val="ListParagraph"/>
        <w:numPr>
          <w:ilvl w:val="0"/>
          <w:numId w:val="2"/>
        </w:numPr>
        <w:spacing w:after="100" w:line="276"/>
      </w:pPr>
      <w:r>
        <w:rPr>
          <w:rFonts w:ascii="Calibri" w:cs="Calibri" w:eastAsia="Calibri" w:hAnsi="Calibri"/>
          <w:sz w:val="22"/>
          <w:szCs w:val="22"/>
        </w:rPr>
        <w:t xml:space="preserve">MTD for Income Tax timeline and scope: gov.uk, 'Find out if and when you need to use Making Tax Digital for Income Tax'; live from 6 April 2026 for qualifying income over £50,000, expanding April 2027.</w:t>
      </w:r>
    </w:p>
    <w:p>
      <w:pPr>
        <w:pStyle w:val="ListParagraph"/>
        <w:numPr>
          <w:ilvl w:val="0"/>
          <w:numId w:val="2"/>
        </w:numPr>
        <w:spacing w:after="100" w:line="276"/>
      </w:pPr>
      <w:r>
        <w:rPr>
          <w:rFonts w:ascii="Calibri" w:cs="Calibri" w:eastAsia="Calibri" w:hAnsi="Calibri"/>
          <w:sz w:val="22"/>
          <w:szCs w:val="22"/>
        </w:rPr>
        <w:t xml:space="preserve">HMRC Developer Hub (API documentation and vendor recognition): developer.service.hmrc.gov.uk.</w:t>
      </w:r>
    </w:p>
    <w:p>
      <w:pPr>
        <w:pStyle w:val="ListParagraph"/>
        <w:numPr>
          <w:ilvl w:val="0"/>
          <w:numId w:val="2"/>
        </w:numPr>
        <w:spacing w:after="100" w:line="276"/>
      </w:pPr>
      <w:r>
        <w:rPr>
          <w:rFonts w:ascii="Calibri" w:cs="Calibri" w:eastAsia="Calibri" w:hAnsi="Calibri"/>
          <w:sz w:val="22"/>
          <w:szCs w:val="22"/>
        </w:rPr>
        <w:t xml:space="preserve">Legislation API and canonical statute URIs: legislation.gov.uk/developer (The National Archives).</w:t>
      </w:r>
    </w:p>
    <w:p>
      <w:pPr>
        <w:pStyle w:val="ListParagraph"/>
        <w:numPr>
          <w:ilvl w:val="0"/>
          <w:numId w:val="2"/>
        </w:numPr>
        <w:spacing w:after="100" w:line="276"/>
      </w:pPr>
      <w:r>
        <w:rPr>
          <w:rFonts w:ascii="Calibri" w:cs="Calibri" w:eastAsia="Calibri" w:hAnsi="Calibri"/>
          <w:sz w:val="22"/>
          <w:szCs w:val="22"/>
        </w:rPr>
        <w:t xml:space="preserve">Data (Use and Access) Act 2025 and staged commencement: gov.uk guidance 'Data (Use and Access) Act 2025: data protection and privacy changes'; legislation.gov.uk/ukpga/2025/18.</w:t>
      </w:r>
    </w:p>
    <w:p>
      <w:pPr>
        <w:pStyle w:val="ListParagraph"/>
        <w:numPr>
          <w:ilvl w:val="0"/>
          <w:numId w:val="2"/>
        </w:numPr>
        <w:spacing w:after="100" w:line="276"/>
      </w:pPr>
      <w:r>
        <w:rPr>
          <w:rFonts w:ascii="Calibri" w:cs="Calibri" w:eastAsia="Calibri" w:hAnsi="Calibri"/>
          <w:sz w:val="22"/>
          <w:szCs w:val="22"/>
        </w:rPr>
        <w:t xml:space="preserve">Find Case Law (tribunal and court judgments with stable URIs): The National Archives.</w:t>
      </w:r>
    </w:p>
    <w:p>
      <w:pPr>
        <w:pStyle w:val="ListParagraph"/>
        <w:numPr>
          <w:ilvl w:val="0"/>
          <w:numId w:val="2"/>
        </w:numPr>
        <w:spacing w:after="100" w:line="276"/>
      </w:pPr>
      <w:r>
        <w:rPr>
          <w:rFonts w:ascii="Calibri" w:cs="Calibri" w:eastAsia="Calibri" w:hAnsi="Calibri"/>
          <w:sz w:val="22"/>
          <w:szCs w:val="22"/>
        </w:rPr>
        <w:t xml:space="preserve">Professional Conduct in Relation to Taxation (PCRT): published jointly by CIOT, ATT, ICAEW, ACCA, ICAS, AAT, STEP.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KAFS Ltd | Tax Planner scoping | Commercial in confidence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2026-07-04T10:47:49.872Z</dcterms:created>
  <dcterms:modified xsi:type="dcterms:W3CDTF">2026-07-04T10:47:49.872Z</dcterms:modified>
</cp:coreProperties>
</file>

<file path=docProps/custom.xml><?xml version="1.0" encoding="utf-8"?>
<Properties xmlns="http://schemas.openxmlformats.org/officeDocument/2006/custom-properties" xmlns:vt="http://schemas.openxmlformats.org/officeDocument/2006/docPropsVTypes"/>
</file>