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3864"/>
          <w:sz w:val="64"/>
          <w:szCs w:val="64"/>
        </w:rPr>
        <w:t xml:space="preserve">LEDGERHOUSE</w:t>
      </w:r>
    </w:p>
    <w:p>
      <w:pPr>
        <w:spacing w:after="160" w:before="0"/>
        <w:jc w:val="center"/>
      </w:pPr>
      <w:r>
        <w:rPr>
          <w:rFonts w:ascii="Calibri" w:cs="Calibri" w:eastAsia="Calibri" w:hAnsi="Calibri"/>
          <w:b/>
          <w:bCs/>
          <w:color w:val="1F3864"/>
          <w:sz w:val="30"/>
          <w:szCs w:val="30"/>
        </w:rPr>
        <w:t xml:space="preserve">Accountant-Supervised Finance Operations for UK Companies of 10 to 40 Employees</w:t>
      </w:r>
    </w:p>
    <w:p>
      <w:pPr>
        <w:spacing w:after="400" w:before="0"/>
        <w:jc w:val="center"/>
      </w:pPr>
      <w:r>
        <w:rPr>
          <w:rFonts w:ascii="Calibri" w:cs="Calibri" w:eastAsia="Calibri" w:hAnsi="Calibri"/>
          <w:i/>
          <w:iCs/>
          <w:color w:val="595959"/>
          <w:sz w:val="22"/>
          <w:szCs w:val="22"/>
        </w:rPr>
        <w:t xml:space="preserve">Growing into the full accounts department, from assistant bookkeeper to CFO</w:t>
      </w:r>
    </w:p>
    <w:p>
      <w:pPr>
        <w:spacing w:after="120" w:before="0"/>
        <w:jc w:val="center"/>
      </w:pPr>
      <w:r>
        <w:rPr>
          <w:rFonts w:ascii="Calibri" w:cs="Calibri" w:eastAsia="Calibri" w:hAnsi="Calibri"/>
          <w:sz w:val="26"/>
          <w:szCs w:val="26"/>
        </w:rPr>
        <w:t xml:space="preserve">Business, Product, Technical and Financial Plan</w:t>
      </w:r>
    </w:p>
    <w:p>
      <w:pPr>
        <w:spacing w:after="500" w:before="0"/>
        <w:jc w:val="center"/>
      </w:pPr>
      <w:r>
        <w:rPr>
          <w:rFonts w:ascii="Calibri" w:cs="Calibri" w:eastAsia="Calibri" w:hAnsi="Calibri"/>
          <w:i/>
          <w:iCs/>
          <w:color w:val="595959"/>
          <w:sz w:val="22"/>
          <w:szCs w:val="22"/>
        </w:rPr>
        <w:t xml:space="preserve">Version 2.1: Revised after critique by three independent AI expert panels</w:t>
      </w:r>
    </w:p>
    <w:p>
      <w:pPr>
        <w:spacing w:after="80" w:before="0"/>
        <w:jc w:val="center"/>
      </w:pPr>
      <w:r>
        <w:rPr>
          <w:rFonts w:ascii="Calibri" w:cs="Calibri" w:eastAsia="Calibri" w:hAnsi="Calibri"/>
          <w:sz w:val="22"/>
          <w:szCs w:val="22"/>
        </w:rPr>
        <w:t xml:space="preserve">Sponsor: Godfred Kwabena Frimpong FCCA MSc</w:t>
      </w:r>
    </w:p>
    <w:p>
      <w:pPr>
        <w:spacing w:after="80" w:before="0"/>
        <w:jc w:val="center"/>
      </w:pPr>
      <w:r>
        <w:rPr>
          <w:rFonts w:ascii="Calibri" w:cs="Calibri" w:eastAsia="Calibri" w:hAnsi="Calibri"/>
          <w:color w:val="595959"/>
          <w:sz w:val="22"/>
          <w:szCs w:val="22"/>
        </w:rPr>
        <w:t xml:space="preserve">July 2026  |  Status: Second-round draft for panel reconsideration</w:t>
      </w:r>
    </w:p>
    <w:p>
      <w:pPr>
        <w:spacing w:after="160" w:before="0"/>
        <w:jc w:val="center"/>
      </w:pPr>
      <w:r>
        <w:rPr>
          <w:rFonts w:ascii="Calibri" w:cs="Calibri" w:eastAsia="Calibri" w:hAnsi="Calibri"/>
          <w:i/>
          <w:iCs/>
          <w:color w:val="595959"/>
          <w:sz w:val="18"/>
          <w:szCs w:val="18"/>
        </w:rPr>
        <w:t xml:space="preserve">Confidential. All figures marked as estimates remain assumptions for testing.</w:t>
      </w:r>
    </w:p>
    <w:p>
      <w:r>
        <w:br w:type="page"/>
      </w:r>
    </w:p>
    <w:p>
      <w:pPr>
        <w:pStyle w:val="Heading1"/>
        <w:spacing w:after="180" w:before="320"/>
      </w:pPr>
      <w:r>
        <w:rPr>
          <w:rFonts w:ascii="Calibri" w:cs="Calibri" w:eastAsia="Calibri" w:hAnsi="Calibri"/>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20"/>
      </w:pPr>
      <w:r>
        <w:rPr>
          <w:rFonts w:ascii="Calibri" w:cs="Calibri" w:eastAsia="Calibri" w:hAnsi="Calibri"/>
        </w:rPr>
        <w:t xml:space="preserve">0. Response to the Review Panels</w:t>
      </w:r>
    </w:p>
    <w:p>
      <w:pPr>
        <w:spacing w:after="160" w:before="0"/>
      </w:pPr>
      <w:r>
        <w:rPr>
          <w:rFonts w:ascii="Calibri" w:cs="Calibri" w:eastAsia="Calibri" w:hAnsi="Calibri"/>
          <w:sz w:val="22"/>
          <w:szCs w:val="22"/>
        </w:rPr>
        <w:t xml:space="preserve">Three independent panels reviewed Version 1.0. This section records what was accepted, what was rejected, and why, so that all three panels can judge the revision on the same evidence. Where the panels disagreed with one another, the sponsor's decision and reasoning are stated.</w:t>
      </w:r>
    </w:p>
    <w:p>
      <w:pPr>
        <w:pStyle w:val="Heading2"/>
        <w:spacing w:after="140" w:before="260"/>
      </w:pPr>
      <w:r>
        <w:rPr>
          <w:rFonts w:ascii="Calibri" w:cs="Calibri" w:eastAsia="Calibri" w:hAnsi="Calibri"/>
        </w:rPr>
        <w:t xml:space="preserve">0.1 Accepted (consensus points, adopted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shd w:fill="1F3864" w:val="clear"/>
          </w:tcPr>
          <w:p>
            <w:pPr>
              <w:spacing w:after="40" w:before="40"/>
            </w:pPr>
            <w:r>
              <w:rPr>
                <w:rFonts w:ascii="Calibri" w:cs="Calibri" w:eastAsia="Calibri" w:hAnsi="Calibri"/>
                <w:b/>
                <w:bCs/>
                <w:color w:val="FFFFFF"/>
                <w:sz w:val="20"/>
                <w:szCs w:val="20"/>
              </w:rPr>
              <w:t xml:space="preserve">Panel finding</w:t>
            </w:r>
          </w:p>
        </w:tc>
        <w:tc>
          <w:tcPr>
            <w:tcW w:type="dxa" w:w="4800"/>
            <w:shd w:fill="1F3864" w:val="clear"/>
          </w:tcPr>
          <w:p>
            <w:pPr>
              <w:spacing w:after="40" w:before="40"/>
            </w:pPr>
            <w:r>
              <w:rPr>
                <w:rFonts w:ascii="Calibri" w:cs="Calibri" w:eastAsia="Calibri" w:hAnsi="Calibri"/>
                <w:b/>
                <w:bCs/>
                <w:color w:val="FFFFFF"/>
                <w:sz w:val="20"/>
                <w:szCs w:val="20"/>
              </w:rPr>
              <w:t xml:space="preserve">Adopted change in Version 2.1</w:t>
            </w:r>
          </w:p>
        </w:tc>
      </w:tr>
      <w:tr>
        <w:tc>
          <w:tcPr>
            <w:tcW w:type="dxa" w:w="4560"/>
          </w:tcPr>
          <w:p>
            <w:pPr>
              <w:spacing w:after="40" w:before="40"/>
            </w:pPr>
            <w:r>
              <w:rPr>
                <w:rFonts w:ascii="Calibri" w:cs="Calibri" w:eastAsia="Calibri" w:hAnsi="Calibri"/>
                <w:sz w:val="20"/>
                <w:szCs w:val="20"/>
              </w:rPr>
              <w:t xml:space="preserve">Pricing too low and wrongly structured; bundled accountant hours erode margin</w:t>
            </w:r>
          </w:p>
        </w:tc>
        <w:tc>
          <w:tcPr>
            <w:tcW w:type="dxa" w:w="4800"/>
          </w:tcPr>
          <w:p>
            <w:pPr>
              <w:spacing w:after="40" w:before="40"/>
            </w:pPr>
            <w:r>
              <w:rPr>
                <w:rFonts w:ascii="Calibri" w:cs="Calibri" w:eastAsia="Calibri" w:hAnsi="Calibri"/>
                <w:sz w:val="20"/>
                <w:szCs w:val="20"/>
              </w:rPr>
              <w:t xml:space="preserve">Prices raised 50 to 100 per cent; implementation fee added; hours unbundled entirely and repriced at £135 to £165 (Section 8)</w:t>
            </w:r>
          </w:p>
        </w:tc>
      </w:tr>
      <w:tr>
        <w:tc>
          <w:tcPr>
            <w:tcW w:type="dxa" w:w="4560"/>
            <w:shd w:fill="F2F5FA" w:val="clear"/>
          </w:tcPr>
          <w:p>
            <w:pPr>
              <w:spacing w:after="40" w:before="40"/>
            </w:pPr>
            <w:r>
              <w:rPr>
                <w:rFonts w:ascii="Calibri" w:cs="Calibri" w:eastAsia="Calibri" w:hAnsi="Calibri"/>
                <w:sz w:val="20"/>
                <w:szCs w:val="20"/>
              </w:rPr>
              <w:t xml:space="preserve">Phase 1 over-scoped for one founder; kernel-first build required</w:t>
            </w:r>
          </w:p>
        </w:tc>
        <w:tc>
          <w:tcPr>
            <w:tcW w:type="dxa" w:w="4800"/>
            <w:shd w:fill="F2F5FA" w:val="clear"/>
          </w:tcPr>
          <w:p>
            <w:pPr>
              <w:spacing w:after="40" w:before="40"/>
            </w:pPr>
            <w:r>
              <w:rPr>
                <w:rFonts w:ascii="Calibri" w:cs="Calibri" w:eastAsia="Calibri" w:hAnsi="Calibri"/>
                <w:sz w:val="20"/>
                <w:szCs w:val="20"/>
              </w:rPr>
              <w:t xml:space="preserve">Scope cut hard: ledger kernel, VAT decision tables, controlled CSV import, capture and approvals, propose-only classification, reconciliation, core reports, controlled close. PDF bank parsing, MTD filing, Open Banking, natural-language queries, cash flow forecasting and white-label console all deferred (Section 5)</w:t>
            </w:r>
          </w:p>
        </w:tc>
      </w:tr>
      <w:tr>
        <w:tc>
          <w:tcPr>
            <w:tcW w:type="dxa" w:w="4560"/>
          </w:tcPr>
          <w:p>
            <w:pPr>
              <w:spacing w:after="40" w:before="40"/>
            </w:pPr>
            <w:r>
              <w:rPr>
                <w:rFonts w:ascii="Calibri" w:cs="Calibri" w:eastAsia="Calibri" w:hAnsi="Calibri"/>
                <w:sz w:val="20"/>
                <w:szCs w:val="20"/>
              </w:rPr>
              <w:t xml:space="preserve">Test-driven build with synthetic golden-ledger data, gated stage by stage</w:t>
            </w:r>
          </w:p>
        </w:tc>
        <w:tc>
          <w:tcPr>
            <w:tcW w:type="dxa" w:w="4800"/>
          </w:tcPr>
          <w:p>
            <w:pPr>
              <w:spacing w:after="40" w:before="40"/>
            </w:pPr>
            <w:r>
              <w:rPr>
                <w:rFonts w:ascii="Calibri" w:cs="Calibri" w:eastAsia="Calibri" w:hAnsi="Calibri"/>
                <w:sz w:val="20"/>
                <w:szCs w:val="20"/>
              </w:rPr>
              <w:t xml:space="preserve">Adopted as the governing build method. No application code before the synthetic company factory and test fixtures exist. Every stage has a pass gate (Section 6)</w:t>
            </w:r>
          </w:p>
        </w:tc>
      </w:tr>
      <w:tr>
        <w:tc>
          <w:tcPr>
            <w:tcW w:type="dxa" w:w="4560"/>
            <w:shd w:fill="F2F5FA" w:val="clear"/>
          </w:tcPr>
          <w:p>
            <w:pPr>
              <w:spacing w:after="40" w:before="40"/>
            </w:pPr>
            <w:r>
              <w:rPr>
                <w:rFonts w:ascii="Calibri" w:cs="Calibri" w:eastAsia="Calibri" w:hAnsi="Calibri"/>
                <w:sz w:val="20"/>
                <w:szCs w:val="20"/>
              </w:rPr>
              <w:t xml:space="preserve">AI must propose, never post</w:t>
            </w:r>
          </w:p>
        </w:tc>
        <w:tc>
          <w:tcPr>
            <w:tcW w:type="dxa" w:w="4800"/>
            <w:shd w:fill="F2F5FA" w:val="clear"/>
          </w:tcPr>
          <w:p>
            <w:pPr>
              <w:spacing w:after="40" w:before="40"/>
            </w:pPr>
            <w:r>
              <w:rPr>
                <w:rFonts w:ascii="Calibri" w:cs="Calibri" w:eastAsia="Calibri" w:hAnsi="Calibri"/>
                <w:sz w:val="20"/>
                <w:szCs w:val="20"/>
              </w:rPr>
              <w:t xml:space="preserve">Adopted as an inviolable rule: only deterministic rules or a human reviewer can create a journal in Phase 1; the AI returns a suggestion and confidence only (Section 7)</w:t>
            </w:r>
          </w:p>
        </w:tc>
      </w:tr>
      <w:tr>
        <w:tc>
          <w:tcPr>
            <w:tcW w:type="dxa" w:w="4560"/>
          </w:tcPr>
          <w:p>
            <w:pPr>
              <w:spacing w:after="40" w:before="40"/>
            </w:pPr>
            <w:r>
              <w:rPr>
                <w:rFonts w:ascii="Calibri" w:cs="Calibri" w:eastAsia="Calibri" w:hAnsi="Calibri"/>
                <w:sz w:val="20"/>
                <w:szCs w:val="20"/>
              </w:rPr>
              <w:t xml:space="preserve">Abstract UK VAT and chart of accounts from the ledger core now</w:t>
            </w:r>
          </w:p>
        </w:tc>
        <w:tc>
          <w:tcPr>
            <w:tcW w:type="dxa" w:w="4800"/>
          </w:tcPr>
          <w:p>
            <w:pPr>
              <w:spacing w:after="40" w:before="40"/>
            </w:pPr>
            <w:r>
              <w:rPr>
                <w:rFonts w:ascii="Calibri" w:cs="Calibri" w:eastAsia="Calibri" w:hAnsi="Calibri"/>
                <w:sz w:val="20"/>
                <w:szCs w:val="20"/>
              </w:rPr>
              <w:t xml:space="preserve">Adopted: jurisdiction, currency, tax registration and accounting basis are first-class fields; tax is a configurable code table; the UK is the first plugin pack, not the ontology (Section 10)</w:t>
            </w:r>
          </w:p>
        </w:tc>
      </w:tr>
      <w:tr>
        <w:tc>
          <w:tcPr>
            <w:tcW w:type="dxa" w:w="4560"/>
            <w:shd w:fill="F2F5FA" w:val="clear"/>
          </w:tcPr>
          <w:p>
            <w:pPr>
              <w:spacing w:after="40" w:before="40"/>
            </w:pPr>
            <w:r>
              <w:rPr>
                <w:rFonts w:ascii="Calibri" w:cs="Calibri" w:eastAsia="Calibri" w:hAnsi="Calibri"/>
                <w:sz w:val="20"/>
                <w:szCs w:val="20"/>
              </w:rPr>
              <w:t xml:space="preserve">Segment too broad</w:t>
            </w:r>
          </w:p>
        </w:tc>
        <w:tc>
          <w:tcPr>
            <w:tcW w:type="dxa" w:w="4800"/>
            <w:shd w:fill="F2F5FA" w:val="clear"/>
          </w:tcPr>
          <w:p>
            <w:pPr>
              <w:spacing w:after="40" w:before="40"/>
            </w:pPr>
            <w:r>
              <w:rPr>
                <w:rFonts w:ascii="Calibri" w:cs="Calibri" w:eastAsia="Calibri" w:hAnsi="Calibri"/>
                <w:sz w:val="20"/>
                <w:szCs w:val="20"/>
              </w:rPr>
              <w:t xml:space="preserve">Narrowed to 10 to 40 employee UK service-led companies; beachhead vertical is care and supported-accommodation providers, where the sponsor has operating clients and domain knowledge (Section 3)</w:t>
            </w:r>
          </w:p>
        </w:tc>
      </w:tr>
      <w:tr>
        <w:tc>
          <w:tcPr>
            <w:tcW w:type="dxa" w:w="4560"/>
          </w:tcPr>
          <w:p>
            <w:pPr>
              <w:spacing w:after="40" w:before="40"/>
            </w:pPr>
            <w:r>
              <w:rPr>
                <w:rFonts w:ascii="Calibri" w:cs="Calibri" w:eastAsia="Calibri" w:hAnsi="Calibri"/>
                <w:sz w:val="20"/>
                <w:szCs w:val="20"/>
              </w:rPr>
              <w:t xml:space="preserve">Build cash cost understated; contingency too thin</w:t>
            </w:r>
          </w:p>
        </w:tc>
        <w:tc>
          <w:tcPr>
            <w:tcW w:type="dxa" w:w="4800"/>
          </w:tcPr>
          <w:p>
            <w:pPr>
              <w:spacing w:after="40" w:before="40"/>
            </w:pPr>
            <w:r>
              <w:rPr>
                <w:rFonts w:ascii="Calibri" w:cs="Calibri" w:eastAsia="Calibri" w:hAnsi="Calibri"/>
                <w:sz w:val="20"/>
                <w:szCs w:val="20"/>
              </w:rPr>
              <w:t xml:space="preserve">Revised to £2,800 to £4,300 cash with 40 per cent contingency; founder time now stated explicitly at about 530 hours (Section 7)</w:t>
            </w:r>
          </w:p>
        </w:tc>
      </w:tr>
      <w:tr>
        <w:tc>
          <w:tcPr>
            <w:tcW w:type="dxa" w:w="4560"/>
            <w:shd w:fill="F2F5FA" w:val="clear"/>
          </w:tcPr>
          <w:p>
            <w:pPr>
              <w:spacing w:after="40" w:before="40"/>
            </w:pPr>
            <w:r>
              <w:rPr>
                <w:rFonts w:ascii="Calibri" w:cs="Calibri" w:eastAsia="Calibri" w:hAnsi="Calibri"/>
                <w:sz w:val="20"/>
                <w:szCs w:val="20"/>
              </w:rPr>
              <w:t xml:space="preserve">Support and review hours understated at launch</w:t>
            </w:r>
          </w:p>
        </w:tc>
        <w:tc>
          <w:tcPr>
            <w:tcW w:type="dxa" w:w="4800"/>
            <w:shd w:fill="F2F5FA" w:val="clear"/>
          </w:tcPr>
          <w:p>
            <w:pPr>
              <w:spacing w:after="40" w:before="40"/>
            </w:pPr>
            <w:r>
              <w:rPr>
                <w:rFonts w:ascii="Calibri" w:cs="Calibri" w:eastAsia="Calibri" w:hAnsi="Calibri"/>
                <w:sz w:val="20"/>
                <w:szCs w:val="20"/>
              </w:rPr>
              <w:t xml:space="preserve">Onboarding modelled at 2 to 6 hours per client; monthly review at 1 to 3 hours falling with evidence; margin claims restated accordingly (Section 8)</w:t>
            </w:r>
          </w:p>
        </w:tc>
      </w:tr>
      <w:tr>
        <w:tc>
          <w:tcPr>
            <w:tcW w:type="dxa" w:w="4560"/>
          </w:tcPr>
          <w:p>
            <w:pPr>
              <w:spacing w:after="40" w:before="40"/>
            </w:pPr>
            <w:r>
              <w:rPr>
                <w:rFonts w:ascii="Calibri" w:cs="Calibri" w:eastAsia="Calibri" w:hAnsi="Calibri"/>
                <w:sz w:val="20"/>
                <w:szCs w:val="20"/>
              </w:rPr>
              <w:t xml:space="preserve">Factual corrections</w:t>
            </w:r>
          </w:p>
        </w:tc>
        <w:tc>
          <w:tcPr>
            <w:tcW w:type="dxa" w:w="4800"/>
          </w:tcPr>
          <w:p>
            <w:pPr>
              <w:spacing w:after="40" w:before="40"/>
            </w:pPr>
            <w:r>
              <w:rPr>
                <w:rFonts w:ascii="Calibri" w:cs="Calibri" w:eastAsia="Calibri" w:hAnsi="Calibri"/>
                <w:sz w:val="20"/>
                <w:szCs w:val="20"/>
              </w:rPr>
              <w:t xml:space="preserve">GoCardless fee corrected to 1 per cent plus 20p capped at £4; ICO fee £52 or £78 by tier; MTD for Income Tax correctly described as applying to sole traders and landlords, cited only as a digitisation culture driver, not a direct compulsory driver for companies</w:t>
            </w:r>
          </w:p>
        </w:tc>
      </w:tr>
      <w:tr>
        <w:tc>
          <w:tcPr>
            <w:tcW w:type="dxa" w:w="4560"/>
            <w:shd w:fill="F2F5FA" w:val="clear"/>
          </w:tcPr>
          <w:p>
            <w:pPr>
              <w:spacing w:after="40" w:before="40"/>
            </w:pPr>
            <w:r>
              <w:rPr>
                <w:rFonts w:ascii="Calibri" w:cs="Calibri" w:eastAsia="Calibri" w:hAnsi="Calibri"/>
                <w:sz w:val="20"/>
                <w:szCs w:val="20"/>
              </w:rPr>
              <w:t xml:space="preserve">Exit multiples of 4 to 6 times (Panel 1) rejected in favour of the conservative view</w:t>
            </w:r>
          </w:p>
        </w:tc>
        <w:tc>
          <w:tcPr>
            <w:tcW w:type="dxa" w:w="4800"/>
            <w:shd w:fill="F2F5FA" w:val="clear"/>
          </w:tcPr>
          <w:p>
            <w:pPr>
              <w:spacing w:after="40" w:before="40"/>
            </w:pPr>
            <w:r>
              <w:rPr>
                <w:rFonts w:ascii="Calibri" w:cs="Calibri" w:eastAsia="Calibri" w:hAnsi="Calibri"/>
                <w:sz w:val="20"/>
                <w:szCs w:val="20"/>
              </w:rPr>
              <w:t xml:space="preserve">Valuation logic now uses 2 to 3 times ARR or 3 to 4 times owner profit, per Panels 2 and 3 (Section 12)</w:t>
            </w:r>
          </w:p>
        </w:tc>
      </w:tr>
      <w:tr>
        <w:tc>
          <w:tcPr>
            <w:tcW w:type="dxa" w:w="4560"/>
          </w:tcPr>
          <w:p>
            <w:pPr>
              <w:spacing w:after="40" w:before="40"/>
            </w:pPr>
            <w:r>
              <w:rPr>
                <w:rFonts w:ascii="Calibri" w:cs="Calibri" w:eastAsia="Calibri" w:hAnsi="Calibri"/>
                <w:sz w:val="20"/>
                <w:szCs w:val="20"/>
              </w:rPr>
              <w:t xml:space="preserve">Paid design partners before deep build</w:t>
            </w:r>
          </w:p>
        </w:tc>
        <w:tc>
          <w:tcPr>
            <w:tcW w:type="dxa" w:w="4800"/>
          </w:tcPr>
          <w:p>
            <w:pPr>
              <w:spacing w:after="40" w:before="40"/>
            </w:pPr>
            <w:r>
              <w:rPr>
                <w:rFonts w:ascii="Calibri" w:cs="Calibri" w:eastAsia="Calibri" w:hAnsi="Calibri"/>
                <w:sz w:val="20"/>
                <w:szCs w:val="20"/>
              </w:rPr>
              <w:t xml:space="preserve">Three paid design-partner commitments (deposit £250 to £500, credited against the implementation fee) are a gating condition at week 14: no build continues past the import stage without them (Section 9)</w:t>
            </w:r>
          </w:p>
        </w:tc>
      </w:tr>
      <w:tr>
        <w:tc>
          <w:tcPr>
            <w:tcW w:type="dxa" w:w="4560"/>
            <w:shd w:fill="F2F5FA" w:val="clear"/>
          </w:tcPr>
          <w:p>
            <w:pPr>
              <w:spacing w:after="40" w:before="40"/>
            </w:pPr>
            <w:r>
              <w:rPr>
                <w:rFonts w:ascii="Calibri" w:cs="Calibri" w:eastAsia="Calibri" w:hAnsi="Calibri"/>
                <w:sz w:val="20"/>
                <w:szCs w:val="20"/>
              </w:rPr>
              <w:t xml:space="preserve">Rigid chart of accounts for clients; canonical taxonomy underneath</w:t>
            </w:r>
          </w:p>
        </w:tc>
        <w:tc>
          <w:tcPr>
            <w:tcW w:type="dxa" w:w="4800"/>
            <w:shd w:fill="F2F5FA" w:val="clear"/>
          </w:tcPr>
          <w:p>
            <w:pPr>
              <w:spacing w:after="40" w:before="40"/>
            </w:pPr>
            <w:r>
              <w:rPr>
                <w:rFonts w:ascii="Calibri" w:cs="Calibri" w:eastAsia="Calibri" w:hAnsi="Calibri"/>
                <w:sz w:val="20"/>
                <w:szCs w:val="20"/>
              </w:rPr>
              <w:t xml:space="preserve">Both adopted together: clients cannot create bespoke nominal codes; the fixed vertical chart maps onto a jurisdiction-neutral canonical taxonomy (Sections 5 and 10)</w:t>
            </w:r>
          </w:p>
        </w:tc>
      </w:tr>
    </w:tbl>
    <w:p>
      <w:pPr>
        <w:spacing w:after="120" w:before="0"/>
      </w:pPr>
      <w:r>
        <w:rPr>
          <w:rFonts w:ascii="Calibri" w:cs="Calibri" w:eastAsia="Calibri" w:hAnsi="Calibri"/>
          <w:sz w:val="22"/>
          <w:szCs w:val="22"/>
        </w:rPr>
        <w:t xml:space="preserve"/>
      </w:r>
    </w:p>
    <w:p>
      <w:pPr>
        <w:pStyle w:val="Heading2"/>
        <w:spacing w:after="140" w:before="260"/>
      </w:pPr>
      <w:r>
        <w:rPr>
          <w:rFonts w:ascii="Calibri" w:cs="Calibri" w:eastAsia="Calibri" w:hAnsi="Calibri"/>
        </w:rPr>
        <w:t xml:space="preserve">0.2 Held, with reasons (the sponsor's position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6100"/>
      </w:tblGrid>
      <w:tr>
        <w:trPr>
          <w:tblHeader/>
        </w:trPr>
        <w:tc>
          <w:tcPr>
            <w:tcW w:type="dxa" w:w="3260"/>
            <w:shd w:fill="1F3864" w:val="clear"/>
          </w:tcPr>
          <w:p>
            <w:pPr>
              <w:spacing w:after="40" w:before="40"/>
            </w:pPr>
            <w:r>
              <w:rPr>
                <w:rFonts w:ascii="Calibri" w:cs="Calibri" w:eastAsia="Calibri" w:hAnsi="Calibri"/>
                <w:b/>
                <w:bCs/>
                <w:color w:val="FFFFFF"/>
                <w:sz w:val="20"/>
                <w:szCs w:val="20"/>
              </w:rPr>
              <w:t xml:space="preserve">Panel finding</w:t>
            </w:r>
          </w:p>
        </w:tc>
        <w:tc>
          <w:tcPr>
            <w:tcW w:type="dxa" w:w="6100"/>
            <w:shd w:fill="1F3864" w:val="clear"/>
          </w:tcPr>
          <w:p>
            <w:pPr>
              <w:spacing w:after="40" w:before="40"/>
            </w:pPr>
            <w:r>
              <w:rPr>
                <w:rFonts w:ascii="Calibri" w:cs="Calibri" w:eastAsia="Calibri" w:hAnsi="Calibri"/>
                <w:b/>
                <w:bCs/>
                <w:color w:val="FFFFFF"/>
                <w:sz w:val="20"/>
                <w:szCs w:val="20"/>
              </w:rPr>
              <w:t xml:space="preserve">Decision and reasoning</w:t>
            </w:r>
          </w:p>
        </w:tc>
      </w:tr>
      <w:tr>
        <w:tc>
          <w:tcPr>
            <w:tcW w:type="dxa" w:w="3260"/>
          </w:tcPr>
          <w:p>
            <w:pPr>
              <w:spacing w:after="40" w:before="40"/>
            </w:pPr>
            <w:r>
              <w:rPr>
                <w:rFonts w:ascii="Calibri" w:cs="Calibri" w:eastAsia="Calibri" w:hAnsi="Calibri"/>
                <w:sz w:val="20"/>
                <w:szCs w:val="20"/>
              </w:rPr>
              <w:t xml:space="preserve">Panel 1: Open Banking must be in Phase 1 or the MVP is fatal</w:t>
            </w:r>
          </w:p>
        </w:tc>
        <w:tc>
          <w:tcPr>
            <w:tcW w:type="dxa" w:w="6100"/>
          </w:tcPr>
          <w:p>
            <w:pPr>
              <w:spacing w:after="40" w:before="40"/>
            </w:pPr>
            <w:r>
              <w:rPr>
                <w:rFonts w:ascii="Calibri" w:cs="Calibri" w:eastAsia="Calibri" w:hAnsi="Calibri"/>
                <w:sz w:val="20"/>
                <w:szCs w:val="20"/>
              </w:rPr>
              <w:t xml:space="preserve">Rejected, siding with Panels 2 and 3. Pilot clients are supervised design partners; a controlled CSV import with idempotency and duplicate detection is sufficient and safer for a parallel-run pilot. Open Banking via an FCA-authorised aggregator is scheduled for months 7 to 9, before any broad direct sale. This also honours the sponsor's constraint that launch must not wait on any third-party or government onboarding.</w:t>
            </w:r>
          </w:p>
        </w:tc>
      </w:tr>
      <w:tr>
        <w:tc>
          <w:tcPr>
            <w:tcW w:type="dxa" w:w="3260"/>
            <w:shd w:fill="F2F5FA" w:val="clear"/>
          </w:tcPr>
          <w:p>
            <w:pPr>
              <w:spacing w:after="40" w:before="40"/>
            </w:pPr>
            <w:r>
              <w:rPr>
                <w:rFonts w:ascii="Calibri" w:cs="Calibri" w:eastAsia="Calibri" w:hAnsi="Calibri"/>
                <w:sz w:val="20"/>
                <w:szCs w:val="20"/>
              </w:rPr>
              <w:t xml:space="preserve">Panels 2 and 3: build bridges to Xero, QuickBooks and Sage at launch</w:t>
            </w:r>
          </w:p>
        </w:tc>
        <w:tc>
          <w:tcPr>
            <w:tcW w:type="dxa" w:w="6100"/>
            <w:shd w:fill="F2F5FA" w:val="clear"/>
          </w:tcPr>
          <w:p>
            <w:pPr>
              <w:spacing w:after="40" w:before="40"/>
            </w:pPr>
            <w:r>
              <w:rPr>
                <w:rFonts w:ascii="Calibri" w:cs="Calibri" w:eastAsia="Calibri" w:hAnsi="Calibri"/>
                <w:sz w:val="20"/>
                <w:szCs w:val="20"/>
              </w:rPr>
              <w:t xml:space="preserve">Rejected on lean-cost grounds. Live ledger integrations are weeks of work and require platform partner approval processes. The same trust objective is achieved at near-zero cost by a supervised parallel run: the client keeps their existing system for one or two month-ends while LedgerHouse runs alongside, and every difference is reconciled and explained. Migration import packs (opening trial balance, customers, suppliers, open items from Xero, QuickBooks or Sage exports) are in scope; live two-way bridges are not.</w:t>
            </w:r>
          </w:p>
        </w:tc>
      </w:tr>
      <w:tr>
        <w:tc>
          <w:tcPr>
            <w:tcW w:type="dxa" w:w="3260"/>
          </w:tcPr>
          <w:p>
            <w:pPr>
              <w:spacing w:after="40" w:before="40"/>
            </w:pPr>
            <w:r>
              <w:rPr>
                <w:rFonts w:ascii="Calibri" w:cs="Calibri" w:eastAsia="Calibri" w:hAnsi="Calibri"/>
                <w:sz w:val="20"/>
                <w:szCs w:val="20"/>
              </w:rPr>
              <w:t xml:space="preserve">Panels 2 and 3: six months is too long, build a 10 to 14 week pilot</w:t>
            </w:r>
          </w:p>
        </w:tc>
        <w:tc>
          <w:tcPr>
            <w:tcW w:type="dxa" w:w="6100"/>
          </w:tcPr>
          <w:p>
            <w:pPr>
              <w:spacing w:after="40" w:before="40"/>
            </w:pPr>
            <w:r>
              <w:rPr>
                <w:rFonts w:ascii="Calibri" w:cs="Calibri" w:eastAsia="Calibri" w:hAnsi="Calibri"/>
                <w:sz w:val="20"/>
                <w:szCs w:val="20"/>
              </w:rPr>
              <w:t xml:space="preserve">Held at six months, with their scope. The panels' timelines assumed near full-time effort. The sponsor commits 4 focused hours per day, roughly 88 hours per month and about 530 hours over 26 weeks. The panels' 10 to 14 week full-time sequence and the sponsor's 26-week half-time sequence are the same quantum of work; Version 2.0 adopts their gated sequence spread across six months (Section 6).</w:t>
            </w:r>
          </w:p>
        </w:tc>
      </w:tr>
      <w:tr>
        <w:tc>
          <w:tcPr>
            <w:tcW w:type="dxa" w:w="3260"/>
            <w:shd w:fill="F2F5FA" w:val="clear"/>
          </w:tcPr>
          <w:p>
            <w:pPr>
              <w:spacing w:after="40" w:before="40"/>
            </w:pPr>
            <w:r>
              <w:rPr>
                <w:rFonts w:ascii="Calibri" w:cs="Calibri" w:eastAsia="Calibri" w:hAnsi="Calibri"/>
                <w:sz w:val="20"/>
                <w:szCs w:val="20"/>
              </w:rPr>
              <w:t xml:space="preserve">Panel 2: prefer managed database services from the start</w:t>
            </w:r>
          </w:p>
        </w:tc>
        <w:tc>
          <w:tcPr>
            <w:tcW w:type="dxa" w:w="6100"/>
            <w:shd w:fill="F2F5FA" w:val="clear"/>
          </w:tcPr>
          <w:p>
            <w:pPr>
              <w:spacing w:after="40" w:before="40"/>
            </w:pPr>
            <w:r>
              <w:rPr>
                <w:rFonts w:ascii="Calibri" w:cs="Calibri" w:eastAsia="Calibri" w:hAnsi="Calibri"/>
                <w:sz w:val="20"/>
                <w:szCs w:val="20"/>
              </w:rPr>
              <w:t xml:space="preserve">Partially rejected in favour of lean cost. The pilot runs on one Hetzner server with Dockerised PostgreSQL and object storage, with encrypted off-site backups, a monthly tested restore drill and monitoring as non-negotiable disciplines. Migration to managed PostgreSQL is a standing decision at 15 client companies or first hosting incident, whichever is earlier.</w:t>
            </w:r>
          </w:p>
        </w:tc>
      </w:tr>
      <w:tr>
        <w:tc>
          <w:tcPr>
            <w:tcW w:type="dxa" w:w="3260"/>
          </w:tcPr>
          <w:p>
            <w:pPr>
              <w:spacing w:after="40" w:before="40"/>
            </w:pPr>
            <w:r>
              <w:rPr>
                <w:rFonts w:ascii="Calibri" w:cs="Calibri" w:eastAsia="Calibri" w:hAnsi="Calibri"/>
                <w:sz w:val="20"/>
                <w:szCs w:val="20"/>
              </w:rPr>
              <w:t xml:space="preserve">Panels 2 and 3: abandon the phrase 'entire accounts department'</w:t>
            </w:r>
          </w:p>
        </w:tc>
        <w:tc>
          <w:tcPr>
            <w:tcW w:type="dxa" w:w="6100"/>
          </w:tcPr>
          <w:p>
            <w:pPr>
              <w:spacing w:after="40" w:before="40"/>
            </w:pPr>
            <w:r>
              <w:rPr>
                <w:rFonts w:ascii="Calibri" w:cs="Calibri" w:eastAsia="Calibri" w:hAnsi="Calibri"/>
                <w:sz w:val="20"/>
                <w:szCs w:val="20"/>
              </w:rPr>
              <w:t xml:space="preserve">Partially held. As a contractual promise it is withdrawn: engagement letters and service descriptions now say accountant-supervised finance operations and month-end close, with an explicit service catalogue and exclusions. As the north-star vision and eventual brand ambition it is retained, because it is the honest destination of the roadmap and the strongest commercial idea in the plan, a judgement Panel 1 shared.</w:t>
            </w:r>
          </w:p>
        </w:tc>
      </w:tr>
      <w:tr>
        <w:tc>
          <w:tcPr>
            <w:tcW w:type="dxa" w:w="3260"/>
            <w:shd w:fill="F2F5FA" w:val="clear"/>
          </w:tcPr>
          <w:p>
            <w:pPr>
              <w:spacing w:after="40" w:before="40"/>
            </w:pPr>
            <w:r>
              <w:rPr>
                <w:rFonts w:ascii="Calibri" w:cs="Calibri" w:eastAsia="Calibri" w:hAnsi="Calibri"/>
                <w:sz w:val="20"/>
                <w:szCs w:val="20"/>
              </w:rPr>
              <w:t xml:space="preserve">Panel 2: treat direct sales as secondary to the firm channel or protect territories now</w:t>
            </w:r>
          </w:p>
        </w:tc>
        <w:tc>
          <w:tcPr>
            <w:tcW w:type="dxa" w:w="6100"/>
            <w:shd w:fill="F2F5FA" w:val="clear"/>
          </w:tcPr>
          <w:p>
            <w:pPr>
              <w:spacing w:after="40" w:before="40"/>
            </w:pPr>
            <w:r>
              <w:rPr>
                <w:rFonts w:ascii="Calibri" w:cs="Calibri" w:eastAsia="Calibri" w:hAnsi="Calibri"/>
                <w:sz w:val="20"/>
                <w:szCs w:val="20"/>
              </w:rPr>
              <w:t xml:space="preserve">Held in modified form: both channels are retained; channel-conflict rules (named-account protection, firm-owned client relationships, no direct marketing to a firm's protected clients) are written into the firm agreement from the first partner.</w:t>
            </w:r>
          </w:p>
        </w:tc>
      </w:tr>
      <w:tr>
        <w:tc>
          <w:tcPr>
            <w:tcW w:type="dxa" w:w="3260"/>
          </w:tcPr>
          <w:p>
            <w:pPr>
              <w:spacing w:after="40" w:before="40"/>
            </w:pPr>
            <w:r>
              <w:rPr>
                <w:rFonts w:ascii="Calibri" w:cs="Calibri" w:eastAsia="Calibri" w:hAnsi="Calibri"/>
                <w:sz w:val="20"/>
                <w:szCs w:val="20"/>
              </w:rPr>
              <w:t xml:space="preserve">Panels 2 and 3: founder economic cost of £35,000 to £70,000 should be in the cost model</w:t>
            </w:r>
          </w:p>
        </w:tc>
        <w:tc>
          <w:tcPr>
            <w:tcW w:type="dxa" w:w="6100"/>
          </w:tcPr>
          <w:p>
            <w:pPr>
              <w:spacing w:after="40" w:before="40"/>
            </w:pPr>
            <w:r>
              <w:rPr>
                <w:rFonts w:ascii="Calibri" w:cs="Calibri" w:eastAsia="Calibri" w:hAnsi="Calibri"/>
                <w:sz w:val="20"/>
                <w:szCs w:val="20"/>
              </w:rPr>
              <w:t xml:space="preserve">Acknowledged and stated, but not treated as a cash line. This is a bootstrapped owner-built venture; the plan now discloses founder hours (about 530) and their opportunity cost so that pricing, valuation and make-versus-buy judgements are honest, without pretending cash leaves the business.</w:t>
            </w:r>
          </w:p>
        </w:tc>
      </w:tr>
    </w:tbl>
    <w:p>
      <w:pPr>
        <w:spacing w:after="120" w:before="0"/>
      </w:pPr>
      <w:r>
        <w:rPr>
          <w:rFonts w:ascii="Calibri" w:cs="Calibri" w:eastAsia="Calibri" w:hAnsi="Calibri"/>
          <w:sz w:val="22"/>
          <w:szCs w:val="22"/>
        </w:rPr>
        <w:t xml:space="preserve"/>
      </w:r>
    </w:p>
    <w:p>
      <w:pPr>
        <w:pStyle w:val="Heading2"/>
        <w:spacing w:after="140" w:before="260"/>
      </w:pPr>
      <w:r>
        <w:rPr>
          <w:rFonts w:ascii="Calibri" w:cs="Calibri" w:eastAsia="Calibri" w:hAnsi="Calibri"/>
        </w:rPr>
        <w:t xml:space="preserve">0.3 The sponsor's three fixed constraints</w:t>
      </w:r>
    </w:p>
    <w:p>
      <w:pPr>
        <w:pStyle w:val="ListParagraph"/>
        <w:numPr>
          <w:ilvl w:val="0"/>
          <w:numId w:val="2"/>
        </w:numPr>
        <w:spacing w:after="80"/>
      </w:pPr>
      <w:r>
        <w:rPr>
          <w:rFonts w:ascii="Calibri" w:cs="Calibri" w:eastAsia="Calibri" w:hAnsi="Calibri"/>
          <w:sz w:val="22"/>
          <w:szCs w:val="22"/>
        </w:rPr>
        <w:t xml:space="preserve">Founder capacity is 4 focused hours per day, roughly 88 hours per month. The build plan is sized to this, not to a full-time assumption.</w:t>
      </w:r>
    </w:p>
    <w:p>
      <w:pPr>
        <w:pStyle w:val="ListParagraph"/>
        <w:numPr>
          <w:ilvl w:val="0"/>
          <w:numId w:val="2"/>
        </w:numPr>
        <w:spacing w:after="80"/>
      </w:pPr>
      <w:r>
        <w:rPr>
          <w:rFonts w:ascii="Calibri" w:cs="Calibri" w:eastAsia="Calibri" w:hAnsi="Calibri"/>
          <w:sz w:val="22"/>
          <w:szCs w:val="22"/>
        </w:rPr>
        <w:t xml:space="preserve">Nothing before Phase 3 may depend on permission, approval, recognition or onboarding from HMRC, Companies House or any government body. The only pre-launch government interaction is ICO registration, which is a same-day online fee of £52 (tier 1) or £78 (tier 2), not a vetting process. Written confirmations on AML scope and professional indemnity are private professional matters obtained in parallel and do not gate the software build.</w:t>
      </w:r>
    </w:p>
    <w:p>
      <w:pPr>
        <w:pStyle w:val="ListParagraph"/>
        <w:numPr>
          <w:ilvl w:val="0"/>
          <w:numId w:val="2"/>
        </w:numPr>
        <w:spacing w:after="80"/>
      </w:pPr>
      <w:r>
        <w:rPr>
          <w:rFonts w:ascii="Calibri" w:cs="Calibri" w:eastAsia="Calibri" w:hAnsi="Calibri"/>
          <w:sz w:val="22"/>
          <w:szCs w:val="22"/>
        </w:rPr>
        <w:t xml:space="preserve">Lean cash cost remains the first priority. Every panel recommendation was tested against it; where quality could be protected by discipline instead of spend (restore drills instead of managed tiers, parallel runs instead of integrations), discipline was chosen.</w:t>
      </w:r>
    </w:p>
    <w:p>
      <w:pPr>
        <w:pStyle w:val="Heading1"/>
        <w:spacing w:after="180" w:before="320"/>
      </w:pPr>
      <w:r>
        <w:rPr>
          <w:rFonts w:ascii="Calibri" w:cs="Calibri" w:eastAsia="Calibri" w:hAnsi="Calibri"/>
        </w:rPr>
        <w:t xml:space="preserve">1. Executive Summary (Revised)</w:t>
      </w:r>
    </w:p>
    <w:p>
      <w:pPr>
        <w:spacing w:after="160" w:before="0"/>
      </w:pPr>
      <w:r>
        <w:rPr>
          <w:rFonts w:ascii="Calibri" w:cs="Calibri" w:eastAsia="Calibri" w:hAnsi="Calibri"/>
          <w:sz w:val="22"/>
          <w:szCs w:val="22"/>
        </w:rPr>
        <w:t xml:space="preserve">LedgerHouse is a UK-first platform providing accountant-supervised finance operations for companies of 10 to 40 employees: whole-company evidence capture, policy-controlled approvals, rules-first bookkeeping with AI proposals and human review, VAT-safe records, reconciliation, and a guaranteed accountant-reviewed month-end close with a management pack. Qualified accountant hours for advisory and external representation (loan applications, investor meetings, HMRC correspondence) are sold separately by the hour. The long-term vision remains the full accounts department; the launch promise is the controlled close.</w:t>
      </w:r>
    </w:p>
    <w:p>
      <w:pPr>
        <w:spacing w:after="160" w:before="0"/>
      </w:pPr>
      <w:r>
        <w:rPr>
          <w:rFonts w:ascii="Calibri" w:cs="Calibri" w:eastAsia="Calibri" w:hAnsi="Calibri"/>
          <w:sz w:val="22"/>
          <w:szCs w:val="22"/>
        </w:rPr>
        <w:t xml:space="preserve">Every employee of a client company receives a role-based login. Staff submit expenses, invoices and documents; department heads approve; the system proposes postings through deterministic rules first and AI second; a named accountant reviews exceptions and signs off the close. No report is issued as reviewed without that sign-off, and no AI output ever posts to the ledger directly.</w:t>
      </w:r>
    </w:p>
    <w:p>
      <w:pPr>
        <w:spacing w:after="160" w:before="0"/>
      </w:pPr>
      <w:r>
        <w:rPr>
          <w:rFonts w:ascii="Calibri" w:cs="Calibri" w:eastAsia="Calibri" w:hAnsi="Calibri"/>
          <w:sz w:val="22"/>
          <w:szCs w:val="22"/>
        </w:rPr>
        <w:t xml:space="preserve">Two channels: direct to companies, and white-label to accountancy firms under written channel-protection rules. The beachhead vertical is care and supported-accommodation providers, where the sponsor has live clients, sector knowledge and immediate access to design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shd w:fill="1F3864" w:val="clear"/>
          </w:tcPr>
          <w:p>
            <w:pPr>
              <w:spacing w:after="40" w:before="40"/>
            </w:pPr>
            <w:r>
              <w:rPr>
                <w:rFonts w:ascii="Calibri" w:cs="Calibri" w:eastAsia="Calibri" w:hAnsi="Calibri"/>
                <w:b/>
                <w:bCs/>
                <w:color w:val="FFFFFF"/>
                <w:sz w:val="20"/>
                <w:szCs w:val="20"/>
              </w:rPr>
              <w:t xml:space="preserve">Headline figure (Version 2.1)</w:t>
            </w:r>
          </w:p>
        </w:tc>
        <w:tc>
          <w:tcPr>
            <w:tcW w:type="dxa" w:w="2800"/>
            <w:shd w:fill="1F3864" w:val="clear"/>
          </w:tcPr>
          <w:p>
            <w:pPr>
              <w:spacing w:after="40" w:before="40"/>
            </w:pPr>
            <w:r>
              <w:rPr>
                <w:rFonts w:ascii="Calibri" w:cs="Calibri" w:eastAsia="Calibri" w:hAnsi="Calibri"/>
                <w:b/>
                <w:bCs/>
                <w:color w:val="FFFFFF"/>
                <w:sz w:val="20"/>
                <w:szCs w:val="20"/>
              </w:rPr>
              <w:t xml:space="preserve">Value</w:t>
            </w:r>
          </w:p>
        </w:tc>
        <w:tc>
          <w:tcPr>
            <w:tcW w:type="dxa" w:w="2960"/>
            <w:shd w:fill="1F3864" w:val="clear"/>
          </w:tcPr>
          <w:p>
            <w:pPr>
              <w:spacing w:after="40" w:before="40"/>
            </w:pPr>
            <w:r>
              <w:rPr>
                <w:rFonts w:ascii="Calibri" w:cs="Calibri" w:eastAsia="Calibri" w:hAnsi="Calibri"/>
                <w:b/>
                <w:bCs/>
                <w:color w:val="FFFFFF"/>
                <w:sz w:val="20"/>
                <w:szCs w:val="20"/>
              </w:rPr>
              <w:t xml:space="preserve">Change from v1.0</w:t>
            </w:r>
          </w:p>
        </w:tc>
      </w:tr>
      <w:tr>
        <w:tc>
          <w:tcPr>
            <w:tcW w:type="dxa" w:w="3600"/>
          </w:tcPr>
          <w:p>
            <w:pPr>
              <w:spacing w:after="40" w:before="40"/>
            </w:pPr>
            <w:r>
              <w:rPr>
                <w:rFonts w:ascii="Calibri" w:cs="Calibri" w:eastAsia="Calibri" w:hAnsi="Calibri"/>
                <w:sz w:val="20"/>
                <w:szCs w:val="20"/>
              </w:rPr>
              <w:t xml:space="preserve">Build cash to pilot (26 weeks at 4 hours per day)</w:t>
            </w:r>
          </w:p>
        </w:tc>
        <w:tc>
          <w:tcPr>
            <w:tcW w:type="dxa" w:w="2800"/>
          </w:tcPr>
          <w:p>
            <w:pPr>
              <w:spacing w:after="40" w:before="40"/>
            </w:pPr>
            <w:r>
              <w:rPr>
                <w:rFonts w:ascii="Calibri" w:cs="Calibri" w:eastAsia="Calibri" w:hAnsi="Calibri"/>
                <w:sz w:val="20"/>
                <w:szCs w:val="20"/>
              </w:rPr>
              <w:t xml:space="preserve">£2,100 to £3,300 (estimate)</w:t>
            </w:r>
          </w:p>
        </w:tc>
        <w:tc>
          <w:tcPr>
            <w:tcW w:type="dxa" w:w="2960"/>
          </w:tcPr>
          <w:p>
            <w:pPr>
              <w:spacing w:after="40" w:before="40"/>
            </w:pPr>
            <w:r>
              <w:rPr>
                <w:rFonts w:ascii="Calibri" w:cs="Calibri" w:eastAsia="Calibri" w:hAnsi="Calibri"/>
                <w:sz w:val="20"/>
                <w:szCs w:val="20"/>
              </w:rPr>
              <w:t xml:space="preserve">AI subscriptions already held (sunk); 40 per cent contingency; founder hours (~530) disclosed</w:t>
            </w:r>
          </w:p>
        </w:tc>
      </w:tr>
      <w:tr>
        <w:tc>
          <w:tcPr>
            <w:tcW w:type="dxa" w:w="3600"/>
            <w:shd w:fill="F2F5FA" w:val="clear"/>
          </w:tcPr>
          <w:p>
            <w:pPr>
              <w:spacing w:after="40" w:before="40"/>
            </w:pPr>
            <w:r>
              <w:rPr>
                <w:rFonts w:ascii="Calibri" w:cs="Calibri" w:eastAsia="Calibri" w:hAnsi="Calibri"/>
                <w:sz w:val="20"/>
                <w:szCs w:val="20"/>
              </w:rPr>
              <w:t xml:space="preserve">Monthly infrastructure at pilot (10 clients)</w:t>
            </w:r>
          </w:p>
        </w:tc>
        <w:tc>
          <w:tcPr>
            <w:tcW w:type="dxa" w:w="2800"/>
            <w:shd w:fill="F2F5FA" w:val="clear"/>
          </w:tcPr>
          <w:p>
            <w:pPr>
              <w:spacing w:after="40" w:before="40"/>
            </w:pPr>
            <w:r>
              <w:rPr>
                <w:rFonts w:ascii="Calibri" w:cs="Calibri" w:eastAsia="Calibri" w:hAnsi="Calibri"/>
                <w:sz w:val="20"/>
                <w:szCs w:val="20"/>
              </w:rPr>
              <w:t xml:space="preserve">£60 to £130 (estimate)</w:t>
            </w:r>
          </w:p>
        </w:tc>
        <w:tc>
          <w:tcPr>
            <w:tcW w:type="dxa" w:w="2960"/>
            <w:shd w:fill="F2F5FA" w:val="clear"/>
          </w:tcPr>
          <w:p>
            <w:pPr>
              <w:spacing w:after="40" w:before="40"/>
            </w:pPr>
            <w:r>
              <w:rPr>
                <w:rFonts w:ascii="Calibri" w:cs="Calibri" w:eastAsia="Calibri" w:hAnsi="Calibri"/>
                <w:sz w:val="20"/>
                <w:szCs w:val="20"/>
              </w:rPr>
              <w:t xml:space="preserve">Up from £45 to £75; proper backups, monitoring and honest LLM volumes</w:t>
            </w:r>
          </w:p>
        </w:tc>
      </w:tr>
      <w:tr>
        <w:tc>
          <w:tcPr>
            <w:tcW w:type="dxa" w:w="3600"/>
          </w:tcPr>
          <w:p>
            <w:pPr>
              <w:spacing w:after="40" w:before="40"/>
            </w:pPr>
            <w:r>
              <w:rPr>
                <w:rFonts w:ascii="Calibri" w:cs="Calibri" w:eastAsia="Calibri" w:hAnsi="Calibri"/>
                <w:sz w:val="20"/>
                <w:szCs w:val="20"/>
              </w:rPr>
              <w:t xml:space="preserve">Fixed operating costs, year one</w:t>
            </w:r>
          </w:p>
        </w:tc>
        <w:tc>
          <w:tcPr>
            <w:tcW w:type="dxa" w:w="2800"/>
          </w:tcPr>
          <w:p>
            <w:pPr>
              <w:spacing w:after="40" w:before="40"/>
            </w:pPr>
            <w:r>
              <w:rPr>
                <w:rFonts w:ascii="Calibri" w:cs="Calibri" w:eastAsia="Calibri" w:hAnsi="Calibri"/>
                <w:sz w:val="20"/>
                <w:szCs w:val="20"/>
              </w:rPr>
              <w:t xml:space="preserve">£6,200 to £11,300 (estimate)</w:t>
            </w:r>
          </w:p>
        </w:tc>
        <w:tc>
          <w:tcPr>
            <w:tcW w:type="dxa" w:w="2960"/>
          </w:tcPr>
          <w:p>
            <w:pPr>
              <w:spacing w:after="40" w:before="40"/>
            </w:pPr>
            <w:r>
              <w:rPr>
                <w:rFonts w:ascii="Calibri" w:cs="Calibri" w:eastAsia="Calibri" w:hAnsi="Calibri"/>
                <w:sz w:val="20"/>
                <w:szCs w:val="20"/>
              </w:rPr>
              <w:t xml:space="preserve">Realistic PI, legal and compliance budgets; ICO already registered</w:t>
            </w:r>
          </w:p>
        </w:tc>
      </w:tr>
      <w:tr>
        <w:tc>
          <w:tcPr>
            <w:tcW w:type="dxa" w:w="3600"/>
            <w:shd w:fill="F2F5FA" w:val="clear"/>
          </w:tcPr>
          <w:p>
            <w:pPr>
              <w:spacing w:after="40" w:before="40"/>
            </w:pPr>
            <w:r>
              <w:rPr>
                <w:rFonts w:ascii="Calibri" w:cs="Calibri" w:eastAsia="Calibri" w:hAnsi="Calibri"/>
                <w:sz w:val="20"/>
                <w:szCs w:val="20"/>
              </w:rPr>
              <w:t xml:space="preserve">Entry price</w:t>
            </w:r>
          </w:p>
        </w:tc>
        <w:tc>
          <w:tcPr>
            <w:tcW w:type="dxa" w:w="2800"/>
            <w:shd w:fill="F2F5FA" w:val="clear"/>
          </w:tcPr>
          <w:p>
            <w:pPr>
              <w:spacing w:after="40" w:before="40"/>
            </w:pPr>
            <w:r>
              <w:rPr>
                <w:rFonts w:ascii="Calibri" w:cs="Calibri" w:eastAsia="Calibri" w:hAnsi="Calibri"/>
                <w:sz w:val="20"/>
                <w:szCs w:val="20"/>
              </w:rPr>
              <w:t xml:space="preserve">£299 + VAT per month plus £750 to £1,500 implementation fee</w:t>
            </w:r>
          </w:p>
        </w:tc>
        <w:tc>
          <w:tcPr>
            <w:tcW w:type="dxa" w:w="2960"/>
            <w:shd w:fill="F2F5FA" w:val="clear"/>
          </w:tcPr>
          <w:p>
            <w:pPr>
              <w:spacing w:after="40" w:before="40"/>
            </w:pPr>
            <w:r>
              <w:rPr>
                <w:rFonts w:ascii="Calibri" w:cs="Calibri" w:eastAsia="Calibri" w:hAnsi="Calibri"/>
                <w:sz w:val="20"/>
                <w:szCs w:val="20"/>
              </w:rPr>
              <w:t xml:space="preserve">Up from £149 with no setup fee</w:t>
            </w:r>
          </w:p>
        </w:tc>
      </w:tr>
      <w:tr>
        <w:tc>
          <w:tcPr>
            <w:tcW w:type="dxa" w:w="3600"/>
          </w:tcPr>
          <w:p>
            <w:pPr>
              <w:spacing w:after="40" w:before="40"/>
            </w:pPr>
            <w:r>
              <w:rPr>
                <w:rFonts w:ascii="Calibri" w:cs="Calibri" w:eastAsia="Calibri" w:hAnsi="Calibri"/>
                <w:sz w:val="20"/>
                <w:szCs w:val="20"/>
              </w:rPr>
              <w:t xml:space="preserve">Close-service tier</w:t>
            </w:r>
          </w:p>
        </w:tc>
        <w:tc>
          <w:tcPr>
            <w:tcW w:type="dxa" w:w="2800"/>
          </w:tcPr>
          <w:p>
            <w:pPr>
              <w:spacing w:after="40" w:before="40"/>
            </w:pPr>
            <w:r>
              <w:rPr>
                <w:rFonts w:ascii="Calibri" w:cs="Calibri" w:eastAsia="Calibri" w:hAnsi="Calibri"/>
                <w:sz w:val="20"/>
                <w:szCs w:val="20"/>
              </w:rPr>
              <w:t xml:space="preserve">£649 + VAT per month</w:t>
            </w:r>
          </w:p>
        </w:tc>
        <w:tc>
          <w:tcPr>
            <w:tcW w:type="dxa" w:w="2960"/>
          </w:tcPr>
          <w:p>
            <w:pPr>
              <w:spacing w:after="40" w:before="40"/>
            </w:pPr>
            <w:r>
              <w:rPr>
                <w:rFonts w:ascii="Calibri" w:cs="Calibri" w:eastAsia="Calibri" w:hAnsi="Calibri"/>
                <w:sz w:val="20"/>
                <w:szCs w:val="20"/>
              </w:rPr>
              <w:t xml:space="preserve">Replaces £299 Growth tier; accountant hours unbundled</w:t>
            </w:r>
          </w:p>
        </w:tc>
      </w:tr>
      <w:tr>
        <w:tc>
          <w:tcPr>
            <w:tcW w:type="dxa" w:w="3600"/>
            <w:shd w:fill="F2F5FA" w:val="clear"/>
          </w:tcPr>
          <w:p>
            <w:pPr>
              <w:spacing w:after="40" w:before="40"/>
            </w:pPr>
            <w:r>
              <w:rPr>
                <w:rFonts w:ascii="Calibri" w:cs="Calibri" w:eastAsia="Calibri" w:hAnsi="Calibri"/>
                <w:sz w:val="20"/>
                <w:szCs w:val="20"/>
              </w:rPr>
              <w:t xml:space="preserve">Break-even</w:t>
            </w:r>
          </w:p>
        </w:tc>
        <w:tc>
          <w:tcPr>
            <w:tcW w:type="dxa" w:w="2800"/>
            <w:shd w:fill="F2F5FA" w:val="clear"/>
          </w:tcPr>
          <w:p>
            <w:pPr>
              <w:spacing w:after="40" w:before="40"/>
            </w:pPr>
            <w:r>
              <w:rPr>
                <w:rFonts w:ascii="Calibri" w:cs="Calibri" w:eastAsia="Calibri" w:hAnsi="Calibri"/>
                <w:sz w:val="20"/>
                <w:szCs w:val="20"/>
              </w:rPr>
              <w:t xml:space="preserve">3 to 4 Close clients or about 5 mixed clients (cash basis, estimate)</w:t>
            </w:r>
          </w:p>
        </w:tc>
        <w:tc>
          <w:tcPr>
            <w:tcW w:type="dxa" w:w="2960"/>
            <w:shd w:fill="F2F5FA" w:val="clear"/>
          </w:tcPr>
          <w:p>
            <w:pPr>
              <w:spacing w:after="40" w:before="40"/>
            </w:pPr>
            <w:r>
              <w:rPr>
                <w:rFonts w:ascii="Calibri" w:cs="Calibri" w:eastAsia="Calibri" w:hAnsi="Calibri"/>
                <w:sz w:val="20"/>
                <w:szCs w:val="20"/>
              </w:rPr>
              <w:t xml:space="preserve">Restated honestly; excludes founder salary, which is disclosed</w:t>
            </w:r>
          </w:p>
        </w:tc>
      </w:tr>
      <w:tr>
        <w:tc>
          <w:tcPr>
            <w:tcW w:type="dxa" w:w="3600"/>
          </w:tcPr>
          <w:p>
            <w:pPr>
              <w:spacing w:after="40" w:before="40"/>
            </w:pPr>
            <w:r>
              <w:rPr>
                <w:rFonts w:ascii="Calibri" w:cs="Calibri" w:eastAsia="Calibri" w:hAnsi="Calibri"/>
                <w:sz w:val="20"/>
                <w:szCs w:val="20"/>
              </w:rPr>
              <w:t xml:space="preserve">Government approvals required before launch</w:t>
            </w:r>
          </w:p>
        </w:tc>
        <w:tc>
          <w:tcPr>
            <w:tcW w:type="dxa" w:w="2800"/>
          </w:tcPr>
          <w:p>
            <w:pPr>
              <w:spacing w:after="40" w:before="40"/>
            </w:pPr>
            <w:r>
              <w:rPr>
                <w:rFonts w:ascii="Calibri" w:cs="Calibri" w:eastAsia="Calibri" w:hAnsi="Calibri"/>
                <w:sz w:val="20"/>
                <w:szCs w:val="20"/>
              </w:rPr>
              <w:t xml:space="preserve">None</w:t>
            </w:r>
          </w:p>
        </w:tc>
        <w:tc>
          <w:tcPr>
            <w:tcW w:type="dxa" w:w="2960"/>
          </w:tcPr>
          <w:p>
            <w:pPr>
              <w:spacing w:after="40" w:before="40"/>
            </w:pPr>
            <w:r>
              <w:rPr>
                <w:rFonts w:ascii="Calibri" w:cs="Calibri" w:eastAsia="Calibri" w:hAnsi="Calibri"/>
                <w:sz w:val="20"/>
                <w:szCs w:val="20"/>
              </w:rPr>
              <w:t xml:space="preserve">Confirmed; Section 11</w:t>
            </w:r>
          </w:p>
        </w:tc>
      </w:tr>
    </w:tbl>
    <w:p>
      <w:pPr>
        <w:pStyle w:val="Heading1"/>
        <w:spacing w:after="180" w:before="320"/>
      </w:pPr>
      <w:r>
        <w:rPr>
          <w:rFonts w:ascii="Calibri" w:cs="Calibri" w:eastAsia="Calibri" w:hAnsi="Calibri"/>
        </w:rPr>
        <w:t xml:space="preserve">2. Market Logic (Corrected)</w:t>
      </w:r>
    </w:p>
    <w:p>
      <w:pPr>
        <w:pStyle w:val="ListParagraph"/>
        <w:numPr>
          <w:ilvl w:val="0"/>
          <w:numId w:val="3"/>
        </w:numPr>
        <w:spacing w:after="80"/>
      </w:pPr>
      <w:r>
        <w:rPr>
          <w:rFonts w:ascii="Calibri" w:cs="Calibri" w:eastAsia="Calibri" w:hAnsi="Calibri"/>
          <w:sz w:val="22"/>
          <w:szCs w:val="22"/>
        </w:rPr>
        <w:t xml:space="preserve">UK business population: roughly 220,000 private-sector businesses with 10 to 49 employees (DBT 2025 statistics, to be re-verified at investor use). The serviceable market is far smaller than the headline: businesses with embedded finance teams, complex stock, construction CIS, multi-currency trading or deep ERP commitments are excluded from the beachhead.</w:t>
      </w:r>
    </w:p>
    <w:p>
      <w:pPr>
        <w:pStyle w:val="ListParagraph"/>
        <w:numPr>
          <w:ilvl w:val="0"/>
          <w:numId w:val="3"/>
        </w:numPr>
        <w:spacing w:after="80"/>
      </w:pPr>
      <w:r>
        <w:rPr>
          <w:rFonts w:ascii="Calibri" w:cs="Calibri" w:eastAsia="Calibri" w:hAnsi="Calibri"/>
          <w:sz w:val="22"/>
          <w:szCs w:val="22"/>
        </w:rPr>
        <w:t xml:space="preserve">MTD for Income Tax (April 2026) applies to sole traders and landlords, not ordinary limited companies. It is cited only as evidence of the digital-records culture; VAT MTD remains the relevant compliance context for VAT-registered client companies, and their filings stay with their accountant until Phase 3.</w:t>
      </w:r>
    </w:p>
    <w:p>
      <w:pPr>
        <w:pStyle w:val="ListParagraph"/>
        <w:numPr>
          <w:ilvl w:val="0"/>
          <w:numId w:val="3"/>
        </w:numPr>
        <w:spacing w:after="80"/>
      </w:pPr>
      <w:r>
        <w:rPr>
          <w:rFonts w:ascii="Calibri" w:cs="Calibri" w:eastAsia="Calibri" w:hAnsi="Calibri"/>
          <w:sz w:val="22"/>
          <w:szCs w:val="22"/>
        </w:rPr>
        <w:t xml:space="preserve">The honest competitor for the target client is not Xero alone but Xero plus a competent outsourced bookkeeping firm. LedgerHouse must beat that combination on controlled workflow, close discipline and evidence trail, not on ledger features.</w:t>
      </w:r>
    </w:p>
    <w:p>
      <w:pPr>
        <w:pStyle w:val="Heading1"/>
        <w:spacing w:after="180" w:before="320"/>
      </w:pPr>
      <w:r>
        <w:rPr>
          <w:rFonts w:ascii="Calibri" w:cs="Calibri" w:eastAsia="Calibri" w:hAnsi="Calibri"/>
        </w:rPr>
        <w:t xml:space="preserve">3. Target Segment and Beachhead</w:t>
      </w:r>
    </w:p>
    <w:p>
      <w:pPr>
        <w:spacing w:after="160" w:before="0"/>
      </w:pPr>
      <w:r>
        <w:rPr>
          <w:rFonts w:ascii="Calibri" w:cs="Calibri" w:eastAsia="Calibri" w:hAnsi="Calibri"/>
          <w:sz w:val="22"/>
          <w:szCs w:val="22"/>
        </w:rPr>
        <w:t xml:space="preserve">First wedge: UK service-led companies of 10 to 40 employees, 300 to 1,500 transactions per month, simple VAT, owner-managed, multiple budget owners, weak internal finance discipline, no ERP. Beachhead vertical: care and supported-accommodation providers, chosen because the sponsor already serves such clients, understands their cost structures, funding streams and reporting needs, and can recruit design partners without marketing spend. Second vertical (professional services and agencies) follows only after three care-sector clients retain past month three.</w:t>
      </w:r>
    </w:p>
    <w:p>
      <w:pPr>
        <w:spacing w:after="160" w:before="0"/>
      </w:pPr>
      <w:r>
        <w:rPr>
          <w:rFonts w:ascii="Calibri" w:cs="Calibri" w:eastAsia="Calibri" w:hAnsi="Calibri"/>
          <w:sz w:val="22"/>
          <w:szCs w:val="22"/>
        </w:rPr>
        <w:t xml:space="preserve">Explicitly excluded at launch: manufacturing, construction CIS, importers with deferred VAT, multi-currency traders, grant-consolidation charities and any company above 40 employees. The 50 to 100 employee ambition returns in Phase 3 when purchase orders and payroll interfaces exist.</w:t>
      </w:r>
    </w:p>
    <w:p>
      <w:pPr>
        <w:pStyle w:val="Heading1"/>
        <w:spacing w:after="180" w:before="320"/>
      </w:pPr>
      <w:r>
        <w:rPr>
          <w:rFonts w:ascii="Calibri" w:cs="Calibri" w:eastAsia="Calibri" w:hAnsi="Calibri"/>
        </w:rPr>
        <w:t xml:space="preserve">4. Positioning (Revised)</w:t>
      </w:r>
    </w:p>
    <w:p>
      <w:pPr>
        <w:spacing w:after="160" w:before="0"/>
      </w:pPr>
      <w:r>
        <w:rPr>
          <w:rFonts w:ascii="Calibri" w:cs="Calibri" w:eastAsia="Calibri" w:hAnsi="Calibri"/>
          <w:sz w:val="22"/>
          <w:szCs w:val="22"/>
        </w:rPr>
        <w:t xml:space="preserve">Sales message: 'Close your month by working day 7 without hiring a finance team.' Contractual promise: accountant-supervised finance operations and month-end close, with a written service catalogue and exclusions. Vision retained: to grow into the client's accounts department as trust and evidence accumulate.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660"/>
      </w:tblGrid>
      <w:tr>
        <w:trPr>
          <w:tblHeader/>
        </w:trPr>
        <w:tc>
          <w:tcPr>
            <w:tcW w:type="dxa" w:w="2400"/>
            <w:shd w:fill="1F3864" w:val="clear"/>
          </w:tcPr>
          <w:p>
            <w:pPr>
              <w:spacing w:after="40" w:before="40"/>
            </w:pPr>
            <w:r>
              <w:rPr>
                <w:rFonts w:ascii="Calibri" w:cs="Calibri" w:eastAsia="Calibri" w:hAnsi="Calibri"/>
                <w:b/>
                <w:bCs/>
                <w:color w:val="FFFFFF"/>
                <w:sz w:val="20"/>
                <w:szCs w:val="20"/>
              </w:rPr>
              <w:t xml:space="preserve">Offer</w:t>
            </w:r>
          </w:p>
        </w:tc>
        <w:tc>
          <w:tcPr>
            <w:tcW w:type="dxa" w:w="4300"/>
            <w:shd w:fill="1F3864" w:val="clear"/>
          </w:tcPr>
          <w:p>
            <w:pPr>
              <w:spacing w:after="40" w:before="40"/>
            </w:pPr>
            <w:r>
              <w:rPr>
                <w:rFonts w:ascii="Calibri" w:cs="Calibri" w:eastAsia="Calibri" w:hAnsi="Calibri"/>
                <w:b/>
                <w:bCs/>
                <w:color w:val="FFFFFF"/>
                <w:sz w:val="20"/>
                <w:szCs w:val="20"/>
              </w:rPr>
              <w:t xml:space="preserve">Contents</w:t>
            </w:r>
          </w:p>
        </w:tc>
        <w:tc>
          <w:tcPr>
            <w:tcW w:type="dxa" w:w="2660"/>
            <w:shd w:fill="1F3864" w:val="clear"/>
          </w:tcPr>
          <w:p>
            <w:pPr>
              <w:spacing w:after="40" w:before="40"/>
            </w:pPr>
            <w:r>
              <w:rPr>
                <w:rFonts w:ascii="Calibri" w:cs="Calibri" w:eastAsia="Calibri" w:hAnsi="Calibri"/>
                <w:b/>
                <w:bCs/>
                <w:color w:val="FFFFFF"/>
                <w:sz w:val="20"/>
                <w:szCs w:val="20"/>
              </w:rPr>
              <w:t xml:space="preserve">Charge</w:t>
            </w:r>
          </w:p>
        </w:tc>
      </w:tr>
      <w:tr>
        <w:tc>
          <w:tcPr>
            <w:tcW w:type="dxa" w:w="2400"/>
          </w:tcPr>
          <w:p>
            <w:pPr>
              <w:spacing w:after="40" w:before="40"/>
            </w:pPr>
            <w:r>
              <w:rPr>
                <w:rFonts w:ascii="Calibri" w:cs="Calibri" w:eastAsia="Calibri" w:hAnsi="Calibri"/>
                <w:sz w:val="20"/>
                <w:szCs w:val="20"/>
              </w:rPr>
              <w:t xml:space="preserve">Implementation and migration</w:t>
            </w:r>
          </w:p>
        </w:tc>
        <w:tc>
          <w:tcPr>
            <w:tcW w:type="dxa" w:w="4300"/>
          </w:tcPr>
          <w:p>
            <w:pPr>
              <w:spacing w:after="40" w:before="40"/>
            </w:pPr>
            <w:r>
              <w:rPr>
                <w:rFonts w:ascii="Calibri" w:cs="Calibri" w:eastAsia="Calibri" w:hAnsi="Calibri"/>
                <w:sz w:val="20"/>
                <w:szCs w:val="20"/>
              </w:rPr>
              <w:t xml:space="preserve">Opening balances agreed to prior accounts, users, policies, chart mapping, one supervised parallel-run month</w:t>
            </w:r>
          </w:p>
        </w:tc>
        <w:tc>
          <w:tcPr>
            <w:tcW w:type="dxa" w:w="2660"/>
          </w:tcPr>
          <w:p>
            <w:pPr>
              <w:spacing w:after="40" w:before="40"/>
            </w:pPr>
            <w:r>
              <w:rPr>
                <w:rFonts w:ascii="Calibri" w:cs="Calibri" w:eastAsia="Calibri" w:hAnsi="Calibri"/>
                <w:sz w:val="20"/>
                <w:szCs w:val="20"/>
              </w:rPr>
              <w:t xml:space="preserve">£750 to £1,500 one-off, by complexity</w:t>
            </w:r>
          </w:p>
        </w:tc>
      </w:tr>
      <w:tr>
        <w:tc>
          <w:tcPr>
            <w:tcW w:type="dxa" w:w="2400"/>
            <w:shd w:fill="F2F5FA" w:val="clear"/>
          </w:tcPr>
          <w:p>
            <w:pPr>
              <w:spacing w:after="40" w:before="40"/>
            </w:pPr>
            <w:r>
              <w:rPr>
                <w:rFonts w:ascii="Calibri" w:cs="Calibri" w:eastAsia="Calibri" w:hAnsi="Calibri"/>
                <w:sz w:val="20"/>
                <w:szCs w:val="20"/>
              </w:rPr>
              <w:t xml:space="preserve">LedgerHouse Controls</w:t>
            </w:r>
          </w:p>
        </w:tc>
        <w:tc>
          <w:tcPr>
            <w:tcW w:type="dxa" w:w="4300"/>
            <w:shd w:fill="F2F5FA" w:val="clear"/>
          </w:tcPr>
          <w:p>
            <w:pPr>
              <w:spacing w:after="40" w:before="40"/>
            </w:pPr>
            <w:r>
              <w:rPr>
                <w:rFonts w:ascii="Calibri" w:cs="Calibri" w:eastAsia="Calibri" w:hAnsi="Calibri"/>
                <w:sz w:val="20"/>
                <w:szCs w:val="20"/>
              </w:rPr>
              <w:t xml:space="preserve">Evidence capture, approvals, rules-first coding proposals, exception queue, reconciliation, VAT-safe records, core reports</w:t>
            </w:r>
          </w:p>
        </w:tc>
        <w:tc>
          <w:tcPr>
            <w:tcW w:type="dxa" w:w="2660"/>
            <w:shd w:fill="F2F5FA" w:val="clear"/>
          </w:tcPr>
          <w:p>
            <w:pPr>
              <w:spacing w:after="40" w:before="40"/>
            </w:pPr>
            <w:r>
              <w:rPr>
                <w:rFonts w:ascii="Calibri" w:cs="Calibri" w:eastAsia="Calibri" w:hAnsi="Calibri"/>
                <w:sz w:val="20"/>
                <w:szCs w:val="20"/>
              </w:rPr>
              <w:t xml:space="preserve">£299 + VAT per month, up to 500 transactions and 15 users; overage £25 per additional 100 transactions</w:t>
            </w:r>
          </w:p>
        </w:tc>
      </w:tr>
      <w:tr>
        <w:tc>
          <w:tcPr>
            <w:tcW w:type="dxa" w:w="2400"/>
          </w:tcPr>
          <w:p>
            <w:pPr>
              <w:spacing w:after="40" w:before="40"/>
            </w:pPr>
            <w:r>
              <w:rPr>
                <w:rFonts w:ascii="Calibri" w:cs="Calibri" w:eastAsia="Calibri" w:hAnsi="Calibri"/>
                <w:sz w:val="20"/>
                <w:szCs w:val="20"/>
              </w:rPr>
              <w:t xml:space="preserve">LedgerHouse Close</w:t>
            </w:r>
          </w:p>
        </w:tc>
        <w:tc>
          <w:tcPr>
            <w:tcW w:type="dxa" w:w="4300"/>
          </w:tcPr>
          <w:p>
            <w:pPr>
              <w:spacing w:after="40" w:before="40"/>
            </w:pPr>
            <w:r>
              <w:rPr>
                <w:rFonts w:ascii="Calibri" w:cs="Calibri" w:eastAsia="Calibri" w:hAnsi="Calibri"/>
                <w:sz w:val="20"/>
                <w:szCs w:val="20"/>
              </w:rPr>
              <w:t xml:space="preserve">Everything in Controls plus accountant-reviewed month-end close by working day 7, management pack, departmental budget-versus-actual</w:t>
            </w:r>
          </w:p>
        </w:tc>
        <w:tc>
          <w:tcPr>
            <w:tcW w:type="dxa" w:w="2660"/>
          </w:tcPr>
          <w:p>
            <w:pPr>
              <w:spacing w:after="40" w:before="40"/>
            </w:pPr>
            <w:r>
              <w:rPr>
                <w:rFonts w:ascii="Calibri" w:cs="Calibri" w:eastAsia="Calibri" w:hAnsi="Calibri"/>
                <w:sz w:val="20"/>
                <w:szCs w:val="20"/>
              </w:rPr>
              <w:t xml:space="preserve">£649 + VAT per month, up to 1,500 transactions and 40 users; overage applies</w:t>
            </w:r>
          </w:p>
        </w:tc>
      </w:tr>
      <w:tr>
        <w:tc>
          <w:tcPr>
            <w:tcW w:type="dxa" w:w="2400"/>
            <w:shd w:fill="F2F5FA" w:val="clear"/>
          </w:tcPr>
          <w:p>
            <w:pPr>
              <w:spacing w:after="40" w:before="40"/>
            </w:pPr>
            <w:r>
              <w:rPr>
                <w:rFonts w:ascii="Calibri" w:cs="Calibri" w:eastAsia="Calibri" w:hAnsi="Calibri"/>
                <w:sz w:val="20"/>
                <w:szCs w:val="20"/>
              </w:rPr>
              <w:t xml:space="preserve">Professional hours</w:t>
            </w:r>
          </w:p>
        </w:tc>
        <w:tc>
          <w:tcPr>
            <w:tcW w:type="dxa" w:w="4300"/>
            <w:shd w:fill="F2F5FA" w:val="clear"/>
          </w:tcPr>
          <w:p>
            <w:pPr>
              <w:spacing w:after="40" w:before="40"/>
            </w:pPr>
            <w:r>
              <w:rPr>
                <w:rFonts w:ascii="Calibri" w:cs="Calibri" w:eastAsia="Calibri" w:hAnsi="Calibri"/>
                <w:sz w:val="20"/>
                <w:szCs w:val="20"/>
              </w:rPr>
              <w:t xml:space="preserve">Advisory £135 per hour; external representation (banks, investors, HMRC correspondence) £165 per hour; prepaid 5-hour block £610</w:t>
            </w:r>
          </w:p>
        </w:tc>
        <w:tc>
          <w:tcPr>
            <w:tcW w:type="dxa" w:w="2660"/>
            <w:shd w:fill="F2F5FA" w:val="clear"/>
          </w:tcPr>
          <w:p>
            <w:pPr>
              <w:spacing w:after="40" w:before="40"/>
            </w:pPr>
            <w:r>
              <w:rPr>
                <w:rFonts w:ascii="Calibri" w:cs="Calibri" w:eastAsia="Calibri" w:hAnsi="Calibri"/>
                <w:sz w:val="20"/>
                <w:szCs w:val="20"/>
              </w:rPr>
              <w:t xml:space="preserve">Separately contracted; never bundled</w:t>
            </w:r>
          </w:p>
        </w:tc>
      </w:tr>
      <w:tr>
        <w:tc>
          <w:tcPr>
            <w:tcW w:type="dxa" w:w="2400"/>
          </w:tcPr>
          <w:p>
            <w:pPr>
              <w:spacing w:after="40" w:before="40"/>
            </w:pPr>
            <w:r>
              <w:rPr>
                <w:rFonts w:ascii="Calibri" w:cs="Calibri" w:eastAsia="Calibri" w:hAnsi="Calibri"/>
                <w:sz w:val="20"/>
                <w:szCs w:val="20"/>
              </w:rPr>
              <w:t xml:space="preserve">Firm white-label</w:t>
            </w:r>
          </w:p>
        </w:tc>
        <w:tc>
          <w:tcPr>
            <w:tcW w:type="dxa" w:w="4300"/>
          </w:tcPr>
          <w:p>
            <w:pPr>
              <w:spacing w:after="40" w:before="40"/>
            </w:pPr>
            <w:r>
              <w:rPr>
                <w:rFonts w:ascii="Calibri" w:cs="Calibri" w:eastAsia="Calibri" w:hAnsi="Calibri"/>
                <w:sz w:val="20"/>
                <w:szCs w:val="20"/>
              </w:rPr>
              <w:t xml:space="preserve">Software-only £59 per client per month; Close workspace £119 per client per month; firm supplies its own hours and owns the client</w:t>
            </w:r>
          </w:p>
        </w:tc>
        <w:tc>
          <w:tcPr>
            <w:tcW w:type="dxa" w:w="2660"/>
          </w:tcPr>
          <w:p>
            <w:pPr>
              <w:spacing w:after="40" w:before="40"/>
            </w:pPr>
            <w:r>
              <w:rPr>
                <w:rFonts w:ascii="Calibri" w:cs="Calibri" w:eastAsia="Calibri" w:hAnsi="Calibri"/>
                <w:sz w:val="20"/>
                <w:szCs w:val="20"/>
              </w:rPr>
              <w:t xml:space="preserve">Plus £250 onboarding fee per client; written channel-protection terms</w:t>
            </w:r>
          </w:p>
        </w:tc>
      </w:tr>
    </w:tbl>
    <w:p>
      <w:pPr>
        <w:spacing w:after="12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Service catalogue exclusions stated in every engagement: no payroll processing, no statutory accounts production, no tax computations, no payment execution, no credit-control chasing in Phase 1. Each exclusion is a later roadmap item, not a hidden gap.</w:t>
      </w:r>
    </w:p>
    <w:p>
      <w:pPr>
        <w:pStyle w:val="Heading1"/>
        <w:spacing w:after="180" w:before="320"/>
      </w:pPr>
      <w:r>
        <w:rPr>
          <w:rFonts w:ascii="Calibri" w:cs="Calibri" w:eastAsia="Calibri" w:hAnsi="Calibri"/>
        </w:rPr>
        <w:t xml:space="preserve">5. Product Scope (Cut to the Kernel)</w:t>
      </w:r>
    </w:p>
    <w:p>
      <w:pPr>
        <w:pStyle w:val="Heading2"/>
        <w:spacing w:after="140" w:before="260"/>
      </w:pPr>
      <w:r>
        <w:rPr>
          <w:rFonts w:ascii="Calibri" w:cs="Calibri" w:eastAsia="Calibri" w:hAnsi="Calibri"/>
        </w:rPr>
        <w:t xml:space="preserve">5.1 Phase 1 (weeks 1 to 26): the controlled pilot</w:t>
      </w:r>
    </w:p>
    <w:p>
      <w:pPr>
        <w:pStyle w:val="ListParagraph"/>
        <w:numPr>
          <w:ilvl w:val="0"/>
          <w:numId w:val="3"/>
        </w:numPr>
        <w:spacing w:after="80"/>
      </w:pPr>
      <w:r>
        <w:rPr>
          <w:rFonts w:ascii="Calibri" w:cs="Calibri" w:eastAsia="Calibri" w:hAnsi="Calibri"/>
          <w:sz w:val="22"/>
          <w:szCs w:val="22"/>
        </w:rPr>
        <w:t xml:space="preserve">Accounting kernel: chart, journals, balanced-posting constraint enforced at database level, periods, locks, reversals and correction journals (no destructive edits), immutable audit events, tenant isolation enforced by row-level security.</w:t>
      </w:r>
    </w:p>
    <w:p>
      <w:pPr>
        <w:pStyle w:val="ListParagraph"/>
        <w:numPr>
          <w:ilvl w:val="0"/>
          <w:numId w:val="3"/>
        </w:numPr>
        <w:spacing w:after="80"/>
      </w:pPr>
      <w:r>
        <w:rPr>
          <w:rFonts w:ascii="Calibri" w:cs="Calibri" w:eastAsia="Calibri" w:hAnsi="Calibri"/>
          <w:sz w:val="22"/>
          <w:szCs w:val="22"/>
        </w:rPr>
        <w:t xml:space="preserve">Fixed vertical chart of accounts: clients cannot create bespoke nominal codes; the chart maps to an internal jurisdiction-neutral canonical taxonomy.</w:t>
      </w:r>
    </w:p>
    <w:p>
      <w:pPr>
        <w:pStyle w:val="ListParagraph"/>
        <w:numPr>
          <w:ilvl w:val="0"/>
          <w:numId w:val="3"/>
        </w:numPr>
        <w:spacing w:after="80"/>
      </w:pPr>
      <w:r>
        <w:rPr>
          <w:rFonts w:ascii="Calibri" w:cs="Calibri" w:eastAsia="Calibri" w:hAnsi="Calibri"/>
          <w:sz w:val="22"/>
          <w:szCs w:val="22"/>
        </w:rPr>
        <w:t xml:space="preserve">VAT decision tables: standard, reduced, zero-rated, exempt, outside scope, partial and mixed cases, held as configurable data, not code.</w:t>
      </w:r>
    </w:p>
    <w:p>
      <w:pPr>
        <w:pStyle w:val="ListParagraph"/>
        <w:numPr>
          <w:ilvl w:val="0"/>
          <w:numId w:val="3"/>
        </w:numPr>
        <w:spacing w:after="80"/>
      </w:pPr>
      <w:r>
        <w:rPr>
          <w:rFonts w:ascii="Calibri" w:cs="Calibri" w:eastAsia="Calibri" w:hAnsi="Calibri"/>
          <w:sz w:val="22"/>
          <w:szCs w:val="22"/>
        </w:rPr>
        <w:t xml:space="preserve">Controlled CSV bank import: one documented schema plus mappings for major UK bank exports; idempotent (re-import creates no duplicates); duplicate detection by hash, amount, date and reference; malformed files fail safely with clear errors; raw file retained.</w:t>
      </w:r>
    </w:p>
    <w:p>
      <w:pPr>
        <w:pStyle w:val="ListParagraph"/>
        <w:numPr>
          <w:ilvl w:val="0"/>
          <w:numId w:val="3"/>
        </w:numPr>
        <w:spacing w:after="80"/>
      </w:pPr>
      <w:r>
        <w:rPr>
          <w:rFonts w:ascii="Calibri" w:cs="Calibri" w:eastAsia="Calibri" w:hAnsi="Calibri"/>
          <w:sz w:val="22"/>
          <w:szCs w:val="22"/>
        </w:rPr>
        <w:t xml:space="preserve">Evidence capture and approvals: expense with receipt photo, purchase invoice, sales invoice; policy routing; approval limits; users cannot approve their own restricted claims; every posting linked to its source document.</w:t>
      </w:r>
    </w:p>
    <w:p>
      <w:pPr>
        <w:pStyle w:val="ListParagraph"/>
        <w:numPr>
          <w:ilvl w:val="0"/>
          <w:numId w:val="3"/>
        </w:numPr>
        <w:spacing w:after="80"/>
      </w:pPr>
      <w:r>
        <w:rPr>
          <w:rFonts w:ascii="Calibri" w:cs="Calibri" w:eastAsia="Calibri" w:hAnsi="Calibri"/>
          <w:sz w:val="22"/>
          <w:szCs w:val="22"/>
        </w:rPr>
        <w:t xml:space="preserve">Classification: supplier memory and deterministic rules propose codes; the AI proposes only, with a stated confidence and a stored reason; items that are low-confidence, high-value, director-related, VAT-unusual or balance-sheet-affecting always queue for human review. Never silently post.</w:t>
      </w:r>
    </w:p>
    <w:p>
      <w:pPr>
        <w:pStyle w:val="ListParagraph"/>
        <w:numPr>
          <w:ilvl w:val="0"/>
          <w:numId w:val="3"/>
        </w:numPr>
        <w:spacing w:after="80"/>
      </w:pPr>
      <w:r>
        <w:rPr>
          <w:rFonts w:ascii="Calibri" w:cs="Calibri" w:eastAsia="Calibri" w:hAnsi="Calibri"/>
          <w:sz w:val="22"/>
          <w:szCs w:val="22"/>
        </w:rPr>
        <w:t xml:space="preserve">Reconciliation workbench: matching, part-payments, refunds, fees, unmatched queue, reconciliation sign-off.</w:t>
      </w:r>
    </w:p>
    <w:p>
      <w:pPr>
        <w:pStyle w:val="ListParagraph"/>
        <w:numPr>
          <w:ilvl w:val="0"/>
          <w:numId w:val="3"/>
        </w:numPr>
        <w:spacing w:after="80"/>
      </w:pPr>
      <w:r>
        <w:rPr>
          <w:rFonts w:ascii="Calibri" w:cs="Calibri" w:eastAsia="Calibri" w:hAnsi="Calibri"/>
          <w:sz w:val="22"/>
          <w:szCs w:val="22"/>
        </w:rPr>
        <w:t xml:space="preserve">Reports: trial balance, profit and loss, balance sheet, aged debtors and creditors, VAT summary, departmental view; every figure drills to journal and source evidence in three clicks.</w:t>
      </w:r>
    </w:p>
    <w:p>
      <w:pPr>
        <w:pStyle w:val="ListParagraph"/>
        <w:numPr>
          <w:ilvl w:val="0"/>
          <w:numId w:val="3"/>
        </w:numPr>
        <w:spacing w:after="80"/>
      </w:pPr>
      <w:r>
        <w:rPr>
          <w:rFonts w:ascii="Calibri" w:cs="Calibri" w:eastAsia="Calibri" w:hAnsi="Calibri"/>
          <w:sz w:val="22"/>
          <w:szCs w:val="22"/>
        </w:rPr>
        <w:t xml:space="preserve">Controlled month close: close checklist, exception register, period lock, management pack issued only with named accountant sign-off.</w:t>
      </w:r>
    </w:p>
    <w:p>
      <w:pPr>
        <w:pStyle w:val="Heading2"/>
        <w:spacing w:after="140" w:before="260"/>
      </w:pPr>
      <w:r>
        <w:rPr>
          <w:rFonts w:ascii="Calibri" w:cs="Calibri" w:eastAsia="Calibri" w:hAnsi="Calibri"/>
        </w:rPr>
        <w:t xml:space="preserve">5.2 Deferred (with re-entry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shd w:fill="1F3864" w:val="clear"/>
          </w:tcPr>
          <w:p>
            <w:pPr>
              <w:spacing w:after="40" w:before="40"/>
            </w:pPr>
            <w:r>
              <w:rPr>
                <w:rFonts w:ascii="Calibri" w:cs="Calibri" w:eastAsia="Calibri" w:hAnsi="Calibri"/>
                <w:b/>
                <w:bCs/>
                <w:color w:val="FFFFFF"/>
                <w:sz w:val="20"/>
                <w:szCs w:val="20"/>
              </w:rPr>
              <w:t xml:space="preserve">Deferred item</w:t>
            </w:r>
          </w:p>
        </w:tc>
        <w:tc>
          <w:tcPr>
            <w:tcW w:type="dxa" w:w="4660"/>
            <w:shd w:fill="1F3864" w:val="clear"/>
          </w:tcPr>
          <w:p>
            <w:pPr>
              <w:spacing w:after="40" w:before="40"/>
            </w:pPr>
            <w:r>
              <w:rPr>
                <w:rFonts w:ascii="Calibri" w:cs="Calibri" w:eastAsia="Calibri" w:hAnsi="Calibri"/>
                <w:b/>
                <w:bCs/>
                <w:color w:val="FFFFFF"/>
                <w:sz w:val="20"/>
                <w:szCs w:val="20"/>
              </w:rPr>
              <w:t xml:space="preserve">Re-entry trigger</w:t>
            </w:r>
          </w:p>
        </w:tc>
      </w:tr>
      <w:tr>
        <w:tc>
          <w:tcPr>
            <w:tcW w:type="dxa" w:w="4700"/>
          </w:tcPr>
          <w:p>
            <w:pPr>
              <w:spacing w:after="40" w:before="40"/>
            </w:pPr>
            <w:r>
              <w:rPr>
                <w:rFonts w:ascii="Calibri" w:cs="Calibri" w:eastAsia="Calibri" w:hAnsi="Calibri"/>
                <w:sz w:val="20"/>
                <w:szCs w:val="20"/>
              </w:rPr>
              <w:t xml:space="preserve">Open Banking feeds via FCA-authorised aggregator</w:t>
            </w:r>
          </w:p>
        </w:tc>
        <w:tc>
          <w:tcPr>
            <w:tcW w:type="dxa" w:w="4660"/>
          </w:tcPr>
          <w:p>
            <w:pPr>
              <w:spacing w:after="40" w:before="40"/>
            </w:pPr>
            <w:r>
              <w:rPr>
                <w:rFonts w:ascii="Calibri" w:cs="Calibri" w:eastAsia="Calibri" w:hAnsi="Calibri"/>
                <w:sz w:val="20"/>
                <w:szCs w:val="20"/>
              </w:rPr>
              <w:t xml:space="preserve">Months 7 to 9, before broad direct sales; no government approval falls on LedgerHouse</w:t>
            </w:r>
          </w:p>
        </w:tc>
      </w:tr>
      <w:tr>
        <w:tc>
          <w:tcPr>
            <w:tcW w:type="dxa" w:w="4700"/>
            <w:shd w:fill="F2F5FA" w:val="clear"/>
          </w:tcPr>
          <w:p>
            <w:pPr>
              <w:spacing w:after="40" w:before="40"/>
            </w:pPr>
            <w:r>
              <w:rPr>
                <w:rFonts w:ascii="Calibri" w:cs="Calibri" w:eastAsia="Calibri" w:hAnsi="Calibri"/>
                <w:sz w:val="20"/>
                <w:szCs w:val="20"/>
              </w:rPr>
              <w:t xml:space="preserve">PDF bank-statement extraction</w:t>
            </w:r>
          </w:p>
        </w:tc>
        <w:tc>
          <w:tcPr>
            <w:tcW w:type="dxa" w:w="4660"/>
            <w:shd w:fill="F2F5FA" w:val="clear"/>
          </w:tcPr>
          <w:p>
            <w:pPr>
              <w:spacing w:after="40" w:before="40"/>
            </w:pPr>
            <w:r>
              <w:rPr>
                <w:rFonts w:ascii="Calibri" w:cs="Calibri" w:eastAsia="Calibri" w:hAnsi="Calibri"/>
                <w:sz w:val="20"/>
                <w:szCs w:val="20"/>
              </w:rPr>
              <w:t xml:space="preserve">After Open Banking, if still needed for laggard banks</w:t>
            </w:r>
          </w:p>
        </w:tc>
      </w:tr>
      <w:tr>
        <w:tc>
          <w:tcPr>
            <w:tcW w:type="dxa" w:w="4700"/>
          </w:tcPr>
          <w:p>
            <w:pPr>
              <w:spacing w:after="40" w:before="40"/>
            </w:pPr>
            <w:r>
              <w:rPr>
                <w:rFonts w:ascii="Calibri" w:cs="Calibri" w:eastAsia="Calibri" w:hAnsi="Calibri"/>
                <w:sz w:val="20"/>
                <w:szCs w:val="20"/>
              </w:rPr>
              <w:t xml:space="preserve">MTD VAT filing through HMRC API</w:t>
            </w:r>
          </w:p>
        </w:tc>
        <w:tc>
          <w:tcPr>
            <w:tcW w:type="dxa" w:w="4660"/>
          </w:tcPr>
          <w:p>
            <w:pPr>
              <w:spacing w:after="40" w:before="40"/>
            </w:pPr>
            <w:r>
              <w:rPr>
                <w:rFonts w:ascii="Calibri" w:cs="Calibri" w:eastAsia="Calibri" w:hAnsi="Calibri"/>
                <w:sz w:val="20"/>
                <w:szCs w:val="20"/>
              </w:rPr>
              <w:t xml:space="preserve">Phase 3 only; begin HMRC developer application once ten clients retain; filings remain with the client's accountant meanwhile</w:t>
            </w:r>
          </w:p>
        </w:tc>
      </w:tr>
      <w:tr>
        <w:tc>
          <w:tcPr>
            <w:tcW w:type="dxa" w:w="4700"/>
            <w:shd w:fill="F2F5FA" w:val="clear"/>
          </w:tcPr>
          <w:p>
            <w:pPr>
              <w:spacing w:after="40" w:before="40"/>
            </w:pPr>
            <w:r>
              <w:rPr>
                <w:rFonts w:ascii="Calibri" w:cs="Calibri" w:eastAsia="Calibri" w:hAnsi="Calibri"/>
                <w:sz w:val="20"/>
                <w:szCs w:val="20"/>
              </w:rPr>
              <w:t xml:space="preserve">White-label console</w:t>
            </w:r>
          </w:p>
        </w:tc>
        <w:tc>
          <w:tcPr>
            <w:tcW w:type="dxa" w:w="4660"/>
            <w:shd w:fill="F2F5FA" w:val="clear"/>
          </w:tcPr>
          <w:p>
            <w:pPr>
              <w:spacing w:after="40" w:before="40"/>
            </w:pPr>
            <w:r>
              <w:rPr>
                <w:rFonts w:ascii="Calibri" w:cs="Calibri" w:eastAsia="Calibri" w:hAnsi="Calibri"/>
                <w:sz w:val="20"/>
                <w:szCs w:val="20"/>
              </w:rPr>
              <w:t xml:space="preserve">Two signed firm design partners specifying requirements</w:t>
            </w:r>
          </w:p>
        </w:tc>
      </w:tr>
      <w:tr>
        <w:tc>
          <w:tcPr>
            <w:tcW w:type="dxa" w:w="4700"/>
          </w:tcPr>
          <w:p>
            <w:pPr>
              <w:spacing w:after="40" w:before="40"/>
            </w:pPr>
            <w:r>
              <w:rPr>
                <w:rFonts w:ascii="Calibri" w:cs="Calibri" w:eastAsia="Calibri" w:hAnsi="Calibri"/>
                <w:sz w:val="20"/>
                <w:szCs w:val="20"/>
              </w:rPr>
              <w:t xml:space="preserve">Natural-language ledger queries; cash flow forecasting</w:t>
            </w:r>
          </w:p>
        </w:tc>
        <w:tc>
          <w:tcPr>
            <w:tcW w:type="dxa" w:w="4660"/>
          </w:tcPr>
          <w:p>
            <w:pPr>
              <w:spacing w:after="40" w:before="40"/>
            </w:pPr>
            <w:r>
              <w:rPr>
                <w:rFonts w:ascii="Calibri" w:cs="Calibri" w:eastAsia="Calibri" w:hAnsi="Calibri"/>
                <w:sz w:val="20"/>
                <w:szCs w:val="20"/>
              </w:rPr>
              <w:t xml:space="preserve">After close quality is proven for three consecutive months</w:t>
            </w:r>
          </w:p>
        </w:tc>
      </w:tr>
      <w:tr>
        <w:tc>
          <w:tcPr>
            <w:tcW w:type="dxa" w:w="4700"/>
            <w:shd w:fill="F2F5FA" w:val="clear"/>
          </w:tcPr>
          <w:p>
            <w:pPr>
              <w:spacing w:after="40" w:before="40"/>
            </w:pPr>
            <w:r>
              <w:rPr>
                <w:rFonts w:ascii="Calibri" w:cs="Calibri" w:eastAsia="Calibri" w:hAnsi="Calibri"/>
                <w:sz w:val="20"/>
                <w:szCs w:val="20"/>
              </w:rPr>
              <w:t xml:space="preserve">Payroll journal import; Companies House deadline tracking</w:t>
            </w:r>
          </w:p>
        </w:tc>
        <w:tc>
          <w:tcPr>
            <w:tcW w:type="dxa" w:w="4660"/>
            <w:shd w:fill="F2F5FA" w:val="clear"/>
          </w:tcPr>
          <w:p>
            <w:pPr>
              <w:spacing w:after="40" w:before="40"/>
            </w:pPr>
            <w:r>
              <w:rPr>
                <w:rFonts w:ascii="Calibri" w:cs="Calibri" w:eastAsia="Calibri" w:hAnsi="Calibri"/>
                <w:sz w:val="20"/>
                <w:szCs w:val="20"/>
              </w:rPr>
              <w:t xml:space="preserve">Phase 3</w:t>
            </w:r>
          </w:p>
        </w:tc>
      </w:tr>
      <w:tr>
        <w:tc>
          <w:tcPr>
            <w:tcW w:type="dxa" w:w="4700"/>
          </w:tcPr>
          <w:p>
            <w:pPr>
              <w:spacing w:after="40" w:before="40"/>
            </w:pPr>
            <w:r>
              <w:rPr>
                <w:rFonts w:ascii="Calibri" w:cs="Calibri" w:eastAsia="Calibri" w:hAnsi="Calibri"/>
                <w:sz w:val="20"/>
                <w:szCs w:val="20"/>
              </w:rPr>
              <w:t xml:space="preserve">Mileage and petty cash modules</w:t>
            </w:r>
          </w:p>
        </w:tc>
        <w:tc>
          <w:tcPr>
            <w:tcW w:type="dxa" w:w="4660"/>
          </w:tcPr>
          <w:p>
            <w:pPr>
              <w:spacing w:after="40" w:before="40"/>
            </w:pPr>
            <w:r>
              <w:rPr>
                <w:rFonts w:ascii="Calibri" w:cs="Calibri" w:eastAsia="Calibri" w:hAnsi="Calibri"/>
                <w:sz w:val="20"/>
                <w:szCs w:val="20"/>
              </w:rPr>
              <w:t xml:space="preserve">Only if the beachhead vertical demonstrably needs them</w:t>
            </w:r>
          </w:p>
        </w:tc>
      </w:tr>
    </w:tbl>
    <w:p>
      <w:pPr>
        <w:pStyle w:val="Heading1"/>
        <w:spacing w:after="180" w:before="320"/>
      </w:pPr>
      <w:r>
        <w:rPr>
          <w:rFonts w:ascii="Calibri" w:cs="Calibri" w:eastAsia="Calibri" w:hAnsi="Calibri"/>
        </w:rPr>
        <w:t xml:space="preserve">6. Build Method: Gated, Test-Driven, Sized to 4 Hours a Day</w:t>
      </w:r>
    </w:p>
    <w:p>
      <w:pPr>
        <w:spacing w:after="160" w:before="0"/>
      </w:pPr>
      <w:r>
        <w:rPr>
          <w:rFonts w:ascii="Calibri" w:cs="Calibri" w:eastAsia="Calibri" w:hAnsi="Calibri"/>
          <w:sz w:val="22"/>
          <w:szCs w:val="22"/>
        </w:rPr>
        <w:t xml:space="preserve">Governing rule adopted from the panels: no application code before the tests. The AI developer first generates synthetic companies with known-correct results; every stage must pass its gate before the next begins; a golden-ledger regression suite runs on every change and blocks release if any expected trial balance, VAT total, ageing, audit record, access-control result or reconciliation outcome shifts. 'Perfect' is replaced with the correct professional standard: proven against an agreed test suite and reconciled control totals.</w:t>
      </w:r>
    </w:p>
    <w:p>
      <w:pPr>
        <w:pStyle w:val="Heading2"/>
        <w:spacing w:after="140" w:before="260"/>
      </w:pPr>
      <w:r>
        <w:rPr>
          <w:rFonts w:ascii="Calibri" w:cs="Calibri" w:eastAsia="Calibri" w:hAnsi="Calibri"/>
        </w:rPr>
        <w:t xml:space="preserve">6.1 The synthetic company factory (built first, weeks 1 to 3)</w:t>
      </w:r>
    </w:p>
    <w:p>
      <w:pPr>
        <w:pStyle w:val="ListParagraph"/>
        <w:numPr>
          <w:ilvl w:val="0"/>
          <w:numId w:val="3"/>
        </w:numPr>
        <w:spacing w:after="80"/>
      </w:pPr>
      <w:r>
        <w:rPr>
          <w:rFonts w:ascii="Calibri" w:cs="Calibri" w:eastAsia="Calibri" w:hAnsi="Calibri"/>
          <w:sz w:val="22"/>
          <w:szCs w:val="22"/>
        </w:rPr>
        <w:t xml:space="preserve">Three synthetic companies: a care provider, a consultancy, a simple trading company; VAT-registered and non-registered variants; deterministic from a seed.</w:t>
      </w:r>
    </w:p>
    <w:p>
      <w:pPr>
        <w:pStyle w:val="ListParagraph"/>
        <w:numPr>
          <w:ilvl w:val="0"/>
          <w:numId w:val="3"/>
        </w:numPr>
        <w:spacing w:after="80"/>
      </w:pPr>
      <w:r>
        <w:rPr>
          <w:rFonts w:ascii="Calibri" w:cs="Calibri" w:eastAsia="Calibri" w:hAnsi="Calibri"/>
          <w:sz w:val="22"/>
          <w:szCs w:val="22"/>
        </w:rPr>
        <w:t xml:space="preserve">Fixtures include: sales invoices, credit notes, supplier invoices, employee expenses, recurring bills, director transactions, refunds, part-payments, overpayments, bank fees, duplicate imports, missing receipts, split VAT, exempt purchases, accruals, prepayments, and fraud-like cases (duplicate invoice number, changed bank details, round-number expense, unusual supplier).</w:t>
      </w:r>
    </w:p>
    <w:p>
      <w:pPr>
        <w:pStyle w:val="ListParagraph"/>
        <w:numPr>
          <w:ilvl w:val="0"/>
          <w:numId w:val="3"/>
        </w:numPr>
        <w:spacing w:after="80"/>
      </w:pPr>
      <w:r>
        <w:rPr>
          <w:rFonts w:ascii="Calibri" w:cs="Calibri" w:eastAsia="Calibri" w:hAnsi="Calibri"/>
          <w:sz w:val="22"/>
          <w:szCs w:val="22"/>
        </w:rPr>
        <w:t xml:space="preserve">For every fixture, stored expected results: journal lines with debit-credit equality, VAT treatment and return totals, reconciliation state, aged positions, departmental P&amp;L, audit trail, access outcome, and the correct rejection message where data is invalid.</w:t>
      </w:r>
    </w:p>
    <w:p>
      <w:pPr>
        <w:pStyle w:val="Heading2"/>
        <w:spacing w:after="140" w:before="260"/>
      </w:pPr>
      <w:r>
        <w:rPr>
          <w:rFonts w:ascii="Calibri" w:cs="Calibri" w:eastAsia="Calibri" w:hAnsi="Calibri"/>
        </w:rPr>
        <w:t xml:space="preserve">6.2 The 26-week gated sequence (about 88 founder hours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3864" w:val="clear"/>
          </w:tcPr>
          <w:p>
            <w:pPr>
              <w:spacing w:after="40" w:before="40"/>
            </w:pPr>
            <w:r>
              <w:rPr>
                <w:rFonts w:ascii="Calibri" w:cs="Calibri" w:eastAsia="Calibri" w:hAnsi="Calibri"/>
                <w:b/>
                <w:bCs/>
                <w:color w:val="FFFFFF"/>
                <w:sz w:val="20"/>
                <w:szCs w:val="20"/>
              </w:rPr>
              <w:t xml:space="preserve">Weeks</w:t>
            </w:r>
          </w:p>
        </w:tc>
        <w:tc>
          <w:tcPr>
            <w:tcW w:type="dxa" w:w="4600"/>
            <w:shd w:fill="1F3864" w:val="clear"/>
          </w:tcPr>
          <w:p>
            <w:pPr>
              <w:spacing w:after="40" w:before="40"/>
            </w:pPr>
            <w:r>
              <w:rPr>
                <w:rFonts w:ascii="Calibri" w:cs="Calibri" w:eastAsia="Calibri" w:hAnsi="Calibri"/>
                <w:b/>
                <w:bCs/>
                <w:color w:val="FFFFFF"/>
                <w:sz w:val="20"/>
                <w:szCs w:val="20"/>
              </w:rPr>
              <w:t xml:space="preserve">Stage</w:t>
            </w:r>
          </w:p>
        </w:tc>
        <w:tc>
          <w:tcPr>
            <w:tcW w:type="dxa" w:w="3660"/>
            <w:shd w:fill="1F3864" w:val="clear"/>
          </w:tcPr>
          <w:p>
            <w:pPr>
              <w:spacing w:after="40" w:before="40"/>
            </w:pPr>
            <w:r>
              <w:rPr>
                <w:rFonts w:ascii="Calibri" w:cs="Calibri" w:eastAsia="Calibri" w:hAnsi="Calibri"/>
                <w:b/>
                <w:bCs/>
                <w:color w:val="FFFFFF"/>
                <w:sz w:val="20"/>
                <w:szCs w:val="20"/>
              </w:rPr>
              <w:t xml:space="preserve">Gate before continuing</w:t>
            </w:r>
          </w:p>
        </w:tc>
      </w:tr>
      <w:tr>
        <w:tc>
          <w:tcPr>
            <w:tcW w:type="dxa" w:w="1100"/>
          </w:tcPr>
          <w:p>
            <w:pPr>
              <w:spacing w:after="40" w:before="40"/>
            </w:pPr>
            <w:r>
              <w:rPr>
                <w:rFonts w:ascii="Calibri" w:cs="Calibri" w:eastAsia="Calibri" w:hAnsi="Calibri"/>
                <w:sz w:val="20"/>
                <w:szCs w:val="20"/>
              </w:rPr>
              <w:t xml:space="preserve">1 to 3</w:t>
            </w:r>
          </w:p>
        </w:tc>
        <w:tc>
          <w:tcPr>
            <w:tcW w:type="dxa" w:w="4600"/>
          </w:tcPr>
          <w:p>
            <w:pPr>
              <w:spacing w:after="40" w:before="40"/>
            </w:pPr>
            <w:r>
              <w:rPr>
                <w:rFonts w:ascii="Calibri" w:cs="Calibri" w:eastAsia="Calibri" w:hAnsi="Calibri"/>
                <w:sz w:val="20"/>
                <w:szCs w:val="20"/>
              </w:rPr>
              <w:t xml:space="preserve">Scope freeze signed; synthetic company factory; test harness; CI on GitHub; Docker local environment</w:t>
            </w:r>
          </w:p>
        </w:tc>
        <w:tc>
          <w:tcPr>
            <w:tcW w:type="dxa" w:w="3660"/>
          </w:tcPr>
          <w:p>
            <w:pPr>
              <w:spacing w:after="40" w:before="40"/>
            </w:pPr>
            <w:r>
              <w:rPr>
                <w:rFonts w:ascii="Calibri" w:cs="Calibri" w:eastAsia="Calibri" w:hAnsi="Calibri"/>
                <w:sz w:val="20"/>
                <w:szCs w:val="20"/>
              </w:rPr>
              <w:t xml:space="preserve">Datasets deterministic from seed; expected results stored as fixtures; written exclusions list</w:t>
            </w:r>
          </w:p>
        </w:tc>
      </w:tr>
      <w:tr>
        <w:tc>
          <w:tcPr>
            <w:tcW w:type="dxa" w:w="1100"/>
            <w:shd w:fill="F2F5FA" w:val="clear"/>
          </w:tcPr>
          <w:p>
            <w:pPr>
              <w:spacing w:after="40" w:before="40"/>
            </w:pPr>
            <w:r>
              <w:rPr>
                <w:rFonts w:ascii="Calibri" w:cs="Calibri" w:eastAsia="Calibri" w:hAnsi="Calibri"/>
                <w:sz w:val="20"/>
                <w:szCs w:val="20"/>
              </w:rPr>
              <w:t xml:space="preserve">4 to 8</w:t>
            </w:r>
          </w:p>
        </w:tc>
        <w:tc>
          <w:tcPr>
            <w:tcW w:type="dxa" w:w="4600"/>
            <w:shd w:fill="F2F5FA" w:val="clear"/>
          </w:tcPr>
          <w:p>
            <w:pPr>
              <w:spacing w:after="40" w:before="40"/>
            </w:pPr>
            <w:r>
              <w:rPr>
                <w:rFonts w:ascii="Calibri" w:cs="Calibri" w:eastAsia="Calibri" w:hAnsi="Calibri"/>
                <w:sz w:val="20"/>
                <w:szCs w:val="20"/>
              </w:rPr>
              <w:t xml:space="preserve">Accounting kernel: chart, journals, periods, reversals, audit events, tenant model, roles</w:t>
            </w:r>
          </w:p>
        </w:tc>
        <w:tc>
          <w:tcPr>
            <w:tcW w:type="dxa" w:w="3660"/>
            <w:shd w:fill="F2F5FA" w:val="clear"/>
          </w:tcPr>
          <w:p>
            <w:pPr>
              <w:spacing w:after="40" w:before="40"/>
            </w:pPr>
            <w:r>
              <w:rPr>
                <w:rFonts w:ascii="Calibri" w:cs="Calibri" w:eastAsia="Calibri" w:hAnsi="Calibri"/>
                <w:sz w:val="20"/>
                <w:szCs w:val="20"/>
              </w:rPr>
              <w:t xml:space="preserve">100 per cent ledger invariants; trial balance always balances; locked periods reject edits; cross-tenant access attempts fail; backup and restore drill passes</w:t>
            </w:r>
          </w:p>
        </w:tc>
      </w:tr>
      <w:tr>
        <w:tc>
          <w:tcPr>
            <w:tcW w:type="dxa" w:w="1100"/>
          </w:tcPr>
          <w:p>
            <w:pPr>
              <w:spacing w:after="40" w:before="40"/>
            </w:pPr>
            <w:r>
              <w:rPr>
                <w:rFonts w:ascii="Calibri" w:cs="Calibri" w:eastAsia="Calibri" w:hAnsi="Calibri"/>
                <w:sz w:val="20"/>
                <w:szCs w:val="20"/>
              </w:rPr>
              <w:t xml:space="preserve">9 to 11</w:t>
            </w:r>
          </w:p>
        </w:tc>
        <w:tc>
          <w:tcPr>
            <w:tcW w:type="dxa" w:w="4600"/>
          </w:tcPr>
          <w:p>
            <w:pPr>
              <w:spacing w:after="40" w:before="40"/>
            </w:pPr>
            <w:r>
              <w:rPr>
                <w:rFonts w:ascii="Calibri" w:cs="Calibri" w:eastAsia="Calibri" w:hAnsi="Calibri"/>
                <w:sz w:val="20"/>
                <w:szCs w:val="20"/>
              </w:rPr>
              <w:t xml:space="preserve">VAT decision tables and VAT control account</w:t>
            </w:r>
          </w:p>
        </w:tc>
        <w:tc>
          <w:tcPr>
            <w:tcW w:type="dxa" w:w="3660"/>
          </w:tcPr>
          <w:p>
            <w:pPr>
              <w:spacing w:after="40" w:before="40"/>
            </w:pPr>
            <w:r>
              <w:rPr>
                <w:rFonts w:ascii="Calibri" w:cs="Calibri" w:eastAsia="Calibri" w:hAnsi="Calibri"/>
                <w:sz w:val="20"/>
                <w:szCs w:val="20"/>
              </w:rPr>
              <w:t xml:space="preserve">All VAT edge fixtures pass; VAT summary agrees to expected totals to the penny</w:t>
            </w:r>
          </w:p>
        </w:tc>
      </w:tr>
      <w:tr>
        <w:tc>
          <w:tcPr>
            <w:tcW w:type="dxa" w:w="1100"/>
            <w:shd w:fill="F2F5FA" w:val="clear"/>
          </w:tcPr>
          <w:p>
            <w:pPr>
              <w:spacing w:after="40" w:before="40"/>
            </w:pPr>
            <w:r>
              <w:rPr>
                <w:rFonts w:ascii="Calibri" w:cs="Calibri" w:eastAsia="Calibri" w:hAnsi="Calibri"/>
                <w:sz w:val="20"/>
                <w:szCs w:val="20"/>
              </w:rPr>
              <w:t xml:space="preserve">12 to 14</w:t>
            </w:r>
          </w:p>
        </w:tc>
        <w:tc>
          <w:tcPr>
            <w:tcW w:type="dxa" w:w="4600"/>
            <w:shd w:fill="F2F5FA" w:val="clear"/>
          </w:tcPr>
          <w:p>
            <w:pPr>
              <w:spacing w:after="40" w:before="40"/>
            </w:pPr>
            <w:r>
              <w:rPr>
                <w:rFonts w:ascii="Calibri" w:cs="Calibri" w:eastAsia="Calibri" w:hAnsi="Calibri"/>
                <w:sz w:val="20"/>
                <w:szCs w:val="20"/>
              </w:rPr>
              <w:t xml:space="preserve">Controlled CSV import, duplicate prevention, import review screen. GATING CONDITION: three paid design-partner commitments in hand, or the build pauses for sales</w:t>
            </w:r>
          </w:p>
        </w:tc>
        <w:tc>
          <w:tcPr>
            <w:tcW w:type="dxa" w:w="3660"/>
            <w:shd w:fill="F2F5FA" w:val="clear"/>
          </w:tcPr>
          <w:p>
            <w:pPr>
              <w:spacing w:after="40" w:before="40"/>
            </w:pPr>
            <w:r>
              <w:rPr>
                <w:rFonts w:ascii="Calibri" w:cs="Calibri" w:eastAsia="Calibri" w:hAnsi="Calibri"/>
                <w:sz w:val="20"/>
                <w:szCs w:val="20"/>
              </w:rPr>
              <w:t xml:space="preserve">Re-import creates no duplicates; malformed files fail safely; imported totals reconcile to control totals; three deposits banked</w:t>
            </w:r>
          </w:p>
        </w:tc>
      </w:tr>
      <w:tr>
        <w:tc>
          <w:tcPr>
            <w:tcW w:type="dxa" w:w="1100"/>
          </w:tcPr>
          <w:p>
            <w:pPr>
              <w:spacing w:after="40" w:before="40"/>
            </w:pPr>
            <w:r>
              <w:rPr>
                <w:rFonts w:ascii="Calibri" w:cs="Calibri" w:eastAsia="Calibri" w:hAnsi="Calibri"/>
                <w:sz w:val="20"/>
                <w:szCs w:val="20"/>
              </w:rPr>
              <w:t xml:space="preserve">15 to 18</w:t>
            </w:r>
          </w:p>
        </w:tc>
        <w:tc>
          <w:tcPr>
            <w:tcW w:type="dxa" w:w="4600"/>
          </w:tcPr>
          <w:p>
            <w:pPr>
              <w:spacing w:after="40" w:before="40"/>
            </w:pPr>
            <w:r>
              <w:rPr>
                <w:rFonts w:ascii="Calibri" w:cs="Calibri" w:eastAsia="Calibri" w:hAnsi="Calibri"/>
                <w:sz w:val="20"/>
                <w:szCs w:val="20"/>
              </w:rPr>
              <w:t xml:space="preserve">Evidence capture, policy approvals, role permissions</w:t>
            </w:r>
          </w:p>
        </w:tc>
        <w:tc>
          <w:tcPr>
            <w:tcW w:type="dxa" w:w="3660"/>
          </w:tcPr>
          <w:p>
            <w:pPr>
              <w:spacing w:after="40" w:before="40"/>
            </w:pPr>
            <w:r>
              <w:rPr>
                <w:rFonts w:ascii="Calibri" w:cs="Calibri" w:eastAsia="Calibri" w:hAnsi="Calibri"/>
                <w:sz w:val="20"/>
                <w:szCs w:val="20"/>
              </w:rPr>
              <w:t xml:space="preserve">Permission attack tests pass; users cannot approve own claims; evidence links survive posting</w:t>
            </w:r>
          </w:p>
        </w:tc>
      </w:tr>
      <w:tr>
        <w:tc>
          <w:tcPr>
            <w:tcW w:type="dxa" w:w="1100"/>
            <w:shd w:fill="F2F5FA" w:val="clear"/>
          </w:tcPr>
          <w:p>
            <w:pPr>
              <w:spacing w:after="40" w:before="40"/>
            </w:pPr>
            <w:r>
              <w:rPr>
                <w:rFonts w:ascii="Calibri" w:cs="Calibri" w:eastAsia="Calibri" w:hAnsi="Calibri"/>
                <w:sz w:val="20"/>
                <w:szCs w:val="20"/>
              </w:rPr>
              <w:t xml:space="preserve">19 to 21</w:t>
            </w:r>
          </w:p>
        </w:tc>
        <w:tc>
          <w:tcPr>
            <w:tcW w:type="dxa" w:w="4600"/>
            <w:shd w:fill="F2F5FA" w:val="clear"/>
          </w:tcPr>
          <w:p>
            <w:pPr>
              <w:spacing w:after="40" w:before="40"/>
            </w:pPr>
            <w:r>
              <w:rPr>
                <w:rFonts w:ascii="Calibri" w:cs="Calibri" w:eastAsia="Calibri" w:hAnsi="Calibri"/>
                <w:sz w:val="20"/>
                <w:szCs w:val="20"/>
              </w:rPr>
              <w:t xml:space="preserve">Classification: supplier memory, rules, AI-propose-only with confidence and reason</w:t>
            </w:r>
          </w:p>
        </w:tc>
        <w:tc>
          <w:tcPr>
            <w:tcW w:type="dxa" w:w="3660"/>
            <w:shd w:fill="F2F5FA" w:val="clear"/>
          </w:tcPr>
          <w:p>
            <w:pPr>
              <w:spacing w:after="40" w:before="40"/>
            </w:pPr>
            <w:r>
              <w:rPr>
                <w:rFonts w:ascii="Calibri" w:cs="Calibri" w:eastAsia="Calibri" w:hAnsi="Calibri"/>
                <w:sz w:val="20"/>
                <w:szCs w:val="20"/>
              </w:rPr>
              <w:t xml:space="preserve">At least 85 per cent auto-proposed correctly on clean synthetic data; 100 per cent of low-confidence and high-risk items reach review; AI cannot post</w:t>
            </w:r>
          </w:p>
        </w:tc>
      </w:tr>
      <w:tr>
        <w:tc>
          <w:tcPr>
            <w:tcW w:type="dxa" w:w="1100"/>
          </w:tcPr>
          <w:p>
            <w:pPr>
              <w:spacing w:after="40" w:before="40"/>
            </w:pPr>
            <w:r>
              <w:rPr>
                <w:rFonts w:ascii="Calibri" w:cs="Calibri" w:eastAsia="Calibri" w:hAnsi="Calibri"/>
                <w:sz w:val="20"/>
                <w:szCs w:val="20"/>
              </w:rPr>
              <w:t xml:space="preserve">22 to 23</w:t>
            </w:r>
          </w:p>
        </w:tc>
        <w:tc>
          <w:tcPr>
            <w:tcW w:type="dxa" w:w="4600"/>
          </w:tcPr>
          <w:p>
            <w:pPr>
              <w:spacing w:after="40" w:before="40"/>
            </w:pPr>
            <w:r>
              <w:rPr>
                <w:rFonts w:ascii="Calibri" w:cs="Calibri" w:eastAsia="Calibri" w:hAnsi="Calibri"/>
                <w:sz w:val="20"/>
                <w:szCs w:val="20"/>
              </w:rPr>
              <w:t xml:space="preserve">Reconciliation workbench</w:t>
            </w:r>
          </w:p>
        </w:tc>
        <w:tc>
          <w:tcPr>
            <w:tcW w:type="dxa" w:w="3660"/>
          </w:tcPr>
          <w:p>
            <w:pPr>
              <w:spacing w:after="40" w:before="40"/>
            </w:pPr>
            <w:r>
              <w:rPr>
                <w:rFonts w:ascii="Calibri" w:cs="Calibri" w:eastAsia="Calibri" w:hAnsi="Calibri"/>
                <w:sz w:val="20"/>
                <w:szCs w:val="20"/>
              </w:rPr>
              <w:t xml:space="preserve">All golden datasets reconcile; part-payments, refunds, fees and duplicate bank lines handled</w:t>
            </w:r>
          </w:p>
        </w:tc>
      </w:tr>
      <w:tr>
        <w:tc>
          <w:tcPr>
            <w:tcW w:type="dxa" w:w="1100"/>
            <w:shd w:fill="F2F5FA" w:val="clear"/>
          </w:tcPr>
          <w:p>
            <w:pPr>
              <w:spacing w:after="40" w:before="40"/>
            </w:pPr>
            <w:r>
              <w:rPr>
                <w:rFonts w:ascii="Calibri" w:cs="Calibri" w:eastAsia="Calibri" w:hAnsi="Calibri"/>
                <w:sz w:val="20"/>
                <w:szCs w:val="20"/>
              </w:rPr>
              <w:t xml:space="preserve">24 to 25</w:t>
            </w:r>
          </w:p>
        </w:tc>
        <w:tc>
          <w:tcPr>
            <w:tcW w:type="dxa" w:w="4600"/>
            <w:shd w:fill="F2F5FA" w:val="clear"/>
          </w:tcPr>
          <w:p>
            <w:pPr>
              <w:spacing w:after="40" w:before="40"/>
            </w:pPr>
            <w:r>
              <w:rPr>
                <w:rFonts w:ascii="Calibri" w:cs="Calibri" w:eastAsia="Calibri" w:hAnsi="Calibri"/>
                <w:sz w:val="20"/>
                <w:szCs w:val="20"/>
              </w:rPr>
              <w:t xml:space="preserve">Core reports and drill-down</w:t>
            </w:r>
          </w:p>
        </w:tc>
        <w:tc>
          <w:tcPr>
            <w:tcW w:type="dxa" w:w="3660"/>
            <w:shd w:fill="F2F5FA" w:val="clear"/>
          </w:tcPr>
          <w:p>
            <w:pPr>
              <w:spacing w:after="40" w:before="40"/>
            </w:pPr>
            <w:r>
              <w:rPr>
                <w:rFonts w:ascii="Calibri" w:cs="Calibri" w:eastAsia="Calibri" w:hAnsi="Calibri"/>
                <w:sz w:val="20"/>
                <w:szCs w:val="20"/>
              </w:rPr>
              <w:t xml:space="preserve">Reports match expected outputs exactly; three-click drill to source evidence</w:t>
            </w:r>
          </w:p>
        </w:tc>
      </w:tr>
      <w:tr>
        <w:tc>
          <w:tcPr>
            <w:tcW w:type="dxa" w:w="1100"/>
          </w:tcPr>
          <w:p>
            <w:pPr>
              <w:spacing w:after="40" w:before="40"/>
            </w:pPr>
            <w:r>
              <w:rPr>
                <w:rFonts w:ascii="Calibri" w:cs="Calibri" w:eastAsia="Calibri" w:hAnsi="Calibri"/>
                <w:sz w:val="20"/>
                <w:szCs w:val="20"/>
              </w:rPr>
              <w:t xml:space="preserve">26</w:t>
            </w:r>
          </w:p>
        </w:tc>
        <w:tc>
          <w:tcPr>
            <w:tcW w:type="dxa" w:w="4600"/>
          </w:tcPr>
          <w:p>
            <w:pPr>
              <w:spacing w:after="40" w:before="40"/>
            </w:pPr>
            <w:r>
              <w:rPr>
                <w:rFonts w:ascii="Calibri" w:cs="Calibri" w:eastAsia="Calibri" w:hAnsi="Calibri"/>
                <w:sz w:val="20"/>
                <w:szCs w:val="20"/>
              </w:rPr>
              <w:t xml:space="preserve">Controlled close, pilot hardening (monitoring, error logging, encrypted off-site backup, restore drill), client-zero parallel month begins</w:t>
            </w:r>
          </w:p>
        </w:tc>
        <w:tc>
          <w:tcPr>
            <w:tcW w:type="dxa" w:w="3660"/>
          </w:tcPr>
          <w:p>
            <w:pPr>
              <w:spacing w:after="40" w:before="40"/>
            </w:pPr>
            <w:r>
              <w:rPr>
                <w:rFonts w:ascii="Calibri" w:cs="Calibri" w:eastAsia="Calibri" w:hAnsi="Calibri"/>
                <w:sz w:val="20"/>
                <w:szCs w:val="20"/>
              </w:rPr>
              <w:t xml:space="preserve">A seeded company closes a month; post-close change only via controlled adjustment; restore drill documented</w:t>
            </w:r>
          </w:p>
        </w:tc>
      </w:tr>
    </w:tbl>
    <w:p>
      <w:pPr>
        <w:spacing w:after="120" w:before="0"/>
      </w:pPr>
      <w:r>
        <w:rPr>
          <w:rFonts w:ascii="Calibri" w:cs="Calibri" w:eastAsia="Calibri" w:hAnsi="Calibri"/>
          <w:sz w:val="22"/>
          <w:szCs w:val="22"/>
        </w:rPr>
        <w:t xml:space="preserve"/>
      </w:r>
    </w:p>
    <w:p>
      <w:pPr>
        <w:pStyle w:val="Heading2"/>
        <w:spacing w:after="140" w:before="260"/>
      </w:pPr>
      <w:r>
        <w:rPr>
          <w:rFonts w:ascii="Calibri" w:cs="Calibri" w:eastAsia="Calibri" w:hAnsi="Calibri"/>
        </w:rPr>
        <w:t xml:space="preserve">6.3 Multi-agent build governance (the plan lives in the repository)</w:t>
      </w:r>
    </w:p>
    <w:p>
      <w:pPr>
        <w:spacing w:after="160" w:before="0"/>
      </w:pPr>
      <w:r>
        <w:rPr>
          <w:rFonts w:ascii="Calibri" w:cs="Calibri" w:eastAsia="Calibri" w:hAnsi="Calibri"/>
          <w:sz w:val="22"/>
          <w:szCs w:val="22"/>
        </w:rPr>
        <w:t xml:space="preserve">The build is executed by several AI developers working in relay (Claude Code, Codex and Gemini for code; Perplexity for research and verification only), switching as usage limits are reached. Agents have no memory of one another, so continuity, state and safety are carried by control files in the project folder that every agent must read before working and update before stopping. The rules:</w:t>
      </w:r>
    </w:p>
    <w:p>
      <w:pPr>
        <w:pStyle w:val="ListParagraph"/>
        <w:numPr>
          <w:ilvl w:val="0"/>
          <w:numId w:val="4"/>
        </w:numPr>
        <w:spacing w:after="80"/>
      </w:pPr>
      <w:r>
        <w:rPr>
          <w:rFonts w:ascii="Calibri" w:cs="Calibri" w:eastAsia="Calibri" w:hAnsi="Calibri"/>
          <w:sz w:val="22"/>
          <w:szCs w:val="22"/>
        </w:rPr>
        <w:t xml:space="preserve">The repository is the single source of truth. It contains PLAN.md (this plan, condensed), STATE.md (what is done, what is in progress, what is next, current stage gate), RULES.md (coding standards, forbidden actions, the never-silently-post and AI-propose-only rules), DECISIONS.md (an append-only log of every architectural decision with date and reason) and BUILDLOG.md (an append-only session log: agent name, date, files touched, tests run, result).</w:t>
      </w:r>
    </w:p>
    <w:p>
      <w:pPr>
        <w:pStyle w:val="ListParagraph"/>
        <w:numPr>
          <w:ilvl w:val="0"/>
          <w:numId w:val="4"/>
        </w:numPr>
        <w:spacing w:after="80"/>
      </w:pPr>
      <w:r>
        <w:rPr>
          <w:rFonts w:ascii="Calibri" w:cs="Calibri" w:eastAsia="Calibri" w:hAnsi="Calibri"/>
          <w:sz w:val="22"/>
          <w:szCs w:val="22"/>
        </w:rPr>
        <w:t xml:space="preserve">Session protocol: every agent begins by reading STATE.md, RULES.md and the current stage in PLAN.md, and ends by updating STATE.md and appending to BUILDLOG.md. An agent that cannot complete a task records exactly where it stopped; the next agent resumes from the record, never from guesswork.</w:t>
      </w:r>
    </w:p>
    <w:p>
      <w:pPr>
        <w:pStyle w:val="ListParagraph"/>
        <w:numPr>
          <w:ilvl w:val="0"/>
          <w:numId w:val="4"/>
        </w:numPr>
        <w:spacing w:after="80"/>
      </w:pPr>
      <w:r>
        <w:rPr>
          <w:rFonts w:ascii="Calibri" w:cs="Calibri" w:eastAsia="Calibri" w:hAnsi="Calibri"/>
          <w:sz w:val="22"/>
          <w:szCs w:val="22"/>
        </w:rPr>
        <w:t xml:space="preserve">Tests are the arbiter, not agents. No agent's output is accepted on its own claim: the golden-ledger regression suite must pass before any commit to the main branch. If two agents produce conflicting approaches, the tests and DECISIONS.md decide; if neither settles it, the founder decides and records it.</w:t>
      </w:r>
    </w:p>
    <w:p>
      <w:pPr>
        <w:pStyle w:val="ListParagraph"/>
        <w:numPr>
          <w:ilvl w:val="0"/>
          <w:numId w:val="4"/>
        </w:numPr>
        <w:spacing w:after="80"/>
      </w:pPr>
      <w:r>
        <w:rPr>
          <w:rFonts w:ascii="Calibri" w:cs="Calibri" w:eastAsia="Calibri" w:hAnsi="Calibri"/>
          <w:sz w:val="22"/>
          <w:szCs w:val="22"/>
        </w:rPr>
        <w:t xml:space="preserve">Git discipline: small commits with plain-English messages, one branch per stage, no force pushes, no history rewriting, main branch protected by the passing test suite. Every session's work is committed, even unfinished work on its branch, so nothing lives only in a chat window.</w:t>
      </w:r>
    </w:p>
    <w:p>
      <w:pPr>
        <w:pStyle w:val="ListParagraph"/>
        <w:numPr>
          <w:ilvl w:val="0"/>
          <w:numId w:val="4"/>
        </w:numPr>
        <w:spacing w:after="80"/>
      </w:pPr>
      <w:r>
        <w:rPr>
          <w:rFonts w:ascii="Calibri" w:cs="Calibri" w:eastAsia="Calibri" w:hAnsi="Calibri"/>
          <w:sz w:val="22"/>
          <w:szCs w:val="22"/>
        </w:rPr>
        <w:t xml:space="preserve">Forbidden to all agents, recorded in RULES.md: deleting or weakening tests to make them pass, posting AI classifications directly to the ledger, editing closed periods, storing secrets in the repository, changing the database schema without a migration file and a DECISIONS.md entry, and marking a stage gate passed without the evidence listed in Section 6.2.</w:t>
      </w:r>
    </w:p>
    <w:p>
      <w:pPr>
        <w:pStyle w:val="ListParagraph"/>
        <w:numPr>
          <w:ilvl w:val="0"/>
          <w:numId w:val="4"/>
        </w:numPr>
        <w:spacing w:after="80"/>
      </w:pPr>
      <w:r>
        <w:rPr>
          <w:rFonts w:ascii="Calibri" w:cs="Calibri" w:eastAsia="Calibri" w:hAnsi="Calibri"/>
          <w:sz w:val="22"/>
          <w:szCs w:val="22"/>
        </w:rPr>
        <w:t xml:space="preserve">Perplexity's role is research: verifying VAT treatments, bank CSV formats, library choices and regulatory facts, with findings pasted into DECISIONS.md with sources. It writes no code.</w:t>
      </w:r>
    </w:p>
    <w:p>
      <w:pPr>
        <w:spacing w:after="160" w:before="0"/>
      </w:pPr>
      <w:r>
        <w:rPr>
          <w:rFonts w:ascii="Calibri" w:cs="Calibri" w:eastAsia="Calibri" w:hAnsi="Calibri"/>
          <w:sz w:val="22"/>
          <w:szCs w:val="22"/>
        </w:rPr>
        <w:t xml:space="preserve">This regime costs nothing, prevents drift and duplicated work between agents, and produces as a by-product the documentation trail (decision log, build log, test evidence) that Section 12 lists as buyer due-diligence material, so the governance discipline directly serves the exit value.</w:t>
      </w:r>
    </w:p>
    <w:p>
      <w:pPr>
        <w:spacing w:after="160" w:before="0"/>
      </w:pPr>
      <w:r>
        <w:rPr>
          <w:rFonts w:ascii="Calibri" w:cs="Calibri" w:eastAsia="Calibri" w:hAnsi="Calibri"/>
          <w:sz w:val="22"/>
          <w:szCs w:val="22"/>
        </w:rPr>
        <w:t xml:space="preserve">Weeks 27 to 34 (months 7 and 8): supervised parallel runs with the three design partners against their incumbent systems; every difference classified as system error, source-data issue or judgement difference; go or no-go review; Open Banking aggregator integration begins. Conversion to paid subscriptions only for clients whose month-end effort demonstrably fell.</w:t>
      </w:r>
    </w:p>
    <w:p>
      <w:pPr>
        <w:pStyle w:val="Heading1"/>
        <w:spacing w:after="180" w:before="320"/>
      </w:pPr>
      <w:r>
        <w:rPr>
          <w:rFonts w:ascii="Calibri" w:cs="Calibri" w:eastAsia="Calibri" w:hAnsi="Calibri"/>
        </w:rPr>
        <w:t xml:space="preserve">7. Architecture and Cost Model (Revised)</w:t>
      </w:r>
    </w:p>
    <w:p>
      <w:pPr>
        <w:pStyle w:val="Heading2"/>
        <w:spacing w:after="140" w:before="260"/>
      </w:pPr>
      <w:r>
        <w:rPr>
          <w:rFonts w:ascii="Calibri" w:cs="Calibri" w:eastAsia="Calibri" w:hAnsi="Calibri"/>
        </w:rPr>
        <w:t xml:space="preserve">7.1 Stack decision (ambiguity closed, per the panels)</w:t>
      </w:r>
    </w:p>
    <w:p>
      <w:pPr>
        <w:spacing w:after="160" w:before="0"/>
      </w:pPr>
      <w:r>
        <w:rPr>
          <w:rFonts w:ascii="Calibri" w:cs="Calibri" w:eastAsia="Calibri" w:hAnsi="Calibri"/>
          <w:sz w:val="22"/>
          <w:szCs w:val="22"/>
        </w:rPr>
        <w:t xml:space="preserve">Backend: Django (Python) modular monolith with PostgreSQL, chosen for its test tooling, ORM integrity, built-in admin and authentication, and the sponsor's Python familiarity. The ledger is a narrow, exhaustively tested domain module; database constraints enforce balanced postings. Front end: server-rendered Django templates with light JavaScript, delivered as an installable PWA; no separate front-end framework in Phase 1. AI sits outside the posting path entirely. Hosting at pilot: one Hetzner server, Dockerised PostgreSQL and object storage, encrypted off-site backups, monthly tested restore drills, uptime and error monitoring. Standing decision: migrate to managed PostgreSQL at 15 client companies or the first hosting incident, whichever is earlier.</w:t>
      </w:r>
    </w:p>
    <w:p>
      <w:pPr>
        <w:pStyle w:val="Heading2"/>
        <w:spacing w:after="140" w:before="260"/>
      </w:pPr>
      <w:r>
        <w:rPr>
          <w:rFonts w:ascii="Calibri" w:cs="Calibri" w:eastAsia="Calibri" w:hAnsi="Calibri"/>
        </w:rPr>
        <w:t xml:space="preserve">7.2 Build cash (26 weeks)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400"/>
        <w:gridCol w:w="2100"/>
        <w:gridCol w:w="3060"/>
      </w:tblGrid>
      <w:tr>
        <w:trPr>
          <w:tblHeader/>
        </w:trPr>
        <w:tc>
          <w:tcPr>
            <w:tcW w:type="dxa" w:w="4400"/>
            <w:shd w:fill="1F3864" w:val="clear"/>
          </w:tcPr>
          <w:p>
            <w:pPr>
              <w:spacing w:after="40" w:before="40"/>
            </w:pPr>
            <w:r>
              <w:rPr>
                <w:rFonts w:ascii="Calibri" w:cs="Calibri" w:eastAsia="Calibri" w:hAnsi="Calibri"/>
                <w:b/>
                <w:bCs/>
                <w:color w:val="FFFFFF"/>
                <w:sz w:val="20"/>
                <w:szCs w:val="20"/>
              </w:rPr>
              <w:t xml:space="preserve">Item</w:t>
            </w:r>
          </w:p>
        </w:tc>
        <w:tc>
          <w:tcPr>
            <w:tcW w:type="dxa" w:w="2100"/>
            <w:shd w:fill="1F3864" w:val="clear"/>
          </w:tcPr>
          <w:p>
            <w:pPr>
              <w:spacing w:after="40" w:before="40"/>
            </w:pPr>
            <w:r>
              <w:rPr>
                <w:rFonts w:ascii="Calibri" w:cs="Calibri" w:eastAsia="Calibri" w:hAnsi="Calibri"/>
                <w:b/>
                <w:bCs/>
                <w:color w:val="FFFFFF"/>
                <w:sz w:val="20"/>
                <w:szCs w:val="20"/>
              </w:rPr>
              <w:t xml:space="preserve">Total (estimate)</w:t>
            </w:r>
          </w:p>
        </w:tc>
        <w:tc>
          <w:tcPr>
            <w:tcW w:type="dxa" w:w="3060"/>
            <w:shd w:fill="1F3864" w:val="clear"/>
          </w:tcPr>
          <w:p>
            <w:pPr>
              <w:spacing w:after="40" w:before="40"/>
            </w:pPr>
            <w:r>
              <w:rPr>
                <w:rFonts w:ascii="Calibri" w:cs="Calibri" w:eastAsia="Calibri" w:hAnsi="Calibri"/>
                <w:b/>
                <w:bCs/>
                <w:color w:val="FFFFFF"/>
                <w:sz w:val="20"/>
                <w:szCs w:val="20"/>
              </w:rPr>
              <w:t xml:space="preserve">Note</w:t>
            </w:r>
          </w:p>
        </w:tc>
      </w:tr>
      <w:tr>
        <w:tc>
          <w:tcPr>
            <w:tcW w:type="dxa" w:w="4400"/>
          </w:tcPr>
          <w:p>
            <w:pPr>
              <w:spacing w:after="40" w:before="40"/>
            </w:pPr>
            <w:r>
              <w:rPr>
                <w:rFonts w:ascii="Calibri" w:cs="Calibri" w:eastAsia="Calibri" w:hAnsi="Calibri"/>
                <w:sz w:val="20"/>
                <w:szCs w:val="20"/>
              </w:rPr>
              <w:t xml:space="preserve">AI coding tools (Claude Code, Codex, Gemini; Perplexity for research)</w:t>
            </w:r>
          </w:p>
        </w:tc>
        <w:tc>
          <w:tcPr>
            <w:tcW w:type="dxa" w:w="2100"/>
          </w:tcPr>
          <w:p>
            <w:pPr>
              <w:spacing w:after="40" w:before="40"/>
            </w:pPr>
            <w:r>
              <w:rPr>
                <w:rFonts w:ascii="Calibri" w:cs="Calibri" w:eastAsia="Calibri" w:hAnsi="Calibri"/>
                <w:sz w:val="20"/>
                <w:szCs w:val="20"/>
              </w:rPr>
              <w:t xml:space="preserve">£0 incremental</w:t>
            </w:r>
          </w:p>
        </w:tc>
        <w:tc>
          <w:tcPr>
            <w:tcW w:type="dxa" w:w="3060"/>
          </w:tcPr>
          <w:p>
            <w:pPr>
              <w:spacing w:after="40" w:before="40"/>
            </w:pPr>
            <w:r>
              <w:rPr>
                <w:rFonts w:ascii="Calibri" w:cs="Calibri" w:eastAsia="Calibri" w:hAnsi="Calibri"/>
                <w:sz w:val="20"/>
                <w:szCs w:val="20"/>
              </w:rPr>
              <w:t xml:space="preserve">Sponsor already holds Pro subscriptions to all four; a sunk personal cost, disclosed but not charged to the project. Agents work in relay under the control-file regime in Section 6.3</w:t>
            </w:r>
          </w:p>
        </w:tc>
      </w:tr>
      <w:tr>
        <w:tc>
          <w:tcPr>
            <w:tcW w:type="dxa" w:w="4400"/>
            <w:shd w:fill="F2F5FA" w:val="clear"/>
          </w:tcPr>
          <w:p>
            <w:pPr>
              <w:spacing w:after="40" w:before="40"/>
            </w:pPr>
            <w:r>
              <w:rPr>
                <w:rFonts w:ascii="Calibri" w:cs="Calibri" w:eastAsia="Calibri" w:hAnsi="Calibri"/>
                <w:sz w:val="20"/>
                <w:szCs w:val="20"/>
              </w:rPr>
              <w:t xml:space="preserve">LLM API testing (classification and OCR experiments)</w:t>
            </w:r>
          </w:p>
        </w:tc>
        <w:tc>
          <w:tcPr>
            <w:tcW w:type="dxa" w:w="2100"/>
            <w:shd w:fill="F2F5FA" w:val="clear"/>
          </w:tcPr>
          <w:p>
            <w:pPr>
              <w:spacing w:after="40" w:before="40"/>
            </w:pPr>
            <w:r>
              <w:rPr>
                <w:rFonts w:ascii="Calibri" w:cs="Calibri" w:eastAsia="Calibri" w:hAnsi="Calibri"/>
                <w:sz w:val="20"/>
                <w:szCs w:val="20"/>
              </w:rPr>
              <w:t xml:space="preserve">£250 to £500</w:t>
            </w:r>
          </w:p>
        </w:tc>
        <w:tc>
          <w:tcPr>
            <w:tcW w:type="dxa" w:w="3060"/>
            <w:shd w:fill="F2F5FA" w:val="clear"/>
          </w:tcPr>
          <w:p>
            <w:pPr>
              <w:spacing w:after="40" w:before="40"/>
            </w:pPr>
            <w:r>
              <w:rPr>
                <w:rFonts w:ascii="Calibri" w:cs="Calibri" w:eastAsia="Calibri" w:hAnsi="Calibri"/>
                <w:sz w:val="20"/>
                <w:szCs w:val="20"/>
              </w:rPr>
              <w:t xml:space="preserve">Raised per all three panels; capped by test fixtures</w:t>
            </w:r>
          </w:p>
        </w:tc>
      </w:tr>
      <w:tr>
        <w:tc>
          <w:tcPr>
            <w:tcW w:type="dxa" w:w="4400"/>
          </w:tcPr>
          <w:p>
            <w:pPr>
              <w:spacing w:after="40" w:before="40"/>
            </w:pPr>
            <w:r>
              <w:rPr>
                <w:rFonts w:ascii="Calibri" w:cs="Calibri" w:eastAsia="Calibri" w:hAnsi="Calibri"/>
                <w:sz w:val="20"/>
                <w:szCs w:val="20"/>
              </w:rPr>
              <w:t xml:space="preserve">Domain, business email, incidentals</w:t>
            </w:r>
          </w:p>
        </w:tc>
        <w:tc>
          <w:tcPr>
            <w:tcW w:type="dxa" w:w="2100"/>
          </w:tcPr>
          <w:p>
            <w:pPr>
              <w:spacing w:after="40" w:before="40"/>
            </w:pPr>
            <w:r>
              <w:rPr>
                <w:rFonts w:ascii="Calibri" w:cs="Calibri" w:eastAsia="Calibri" w:hAnsi="Calibri"/>
                <w:sz w:val="20"/>
                <w:szCs w:val="20"/>
              </w:rPr>
              <w:t xml:space="preserve">£120 to £200</w:t>
            </w:r>
          </w:p>
        </w:tc>
        <w:tc>
          <w:tcPr>
            <w:tcW w:type="dxa" w:w="3060"/>
          </w:tcPr>
          <w:p>
            <w:pPr>
              <w:spacing w:after="40" w:before="40"/>
            </w:pPr>
            <w:r>
              <w:rPr>
                <w:rFonts w:ascii="Calibri" w:cs="Calibri" w:eastAsia="Calibri" w:hAnsi="Calibri"/>
                <w:sz w:val="20"/>
                <w:szCs w:val="20"/>
              </w:rPr>
              <w:t xml:space="preserve">Raised per Panel 3</w:t>
            </w:r>
          </w:p>
        </w:tc>
      </w:tr>
      <w:tr>
        <w:tc>
          <w:tcPr>
            <w:tcW w:type="dxa" w:w="4400"/>
            <w:shd w:fill="F2F5FA" w:val="clear"/>
          </w:tcPr>
          <w:p>
            <w:pPr>
              <w:spacing w:after="40" w:before="40"/>
            </w:pPr>
            <w:r>
              <w:rPr>
                <w:rFonts w:ascii="Calibri" w:cs="Calibri" w:eastAsia="Calibri" w:hAnsi="Calibri"/>
                <w:sz w:val="20"/>
                <w:szCs w:val="20"/>
              </w:rPr>
              <w:t xml:space="preserve">Legal pilot pack (templates plus limited solicitor review: pilot agreement, DPA, liability wording)</w:t>
            </w:r>
          </w:p>
        </w:tc>
        <w:tc>
          <w:tcPr>
            <w:tcW w:type="dxa" w:w="2100"/>
            <w:shd w:fill="F2F5FA" w:val="clear"/>
          </w:tcPr>
          <w:p>
            <w:pPr>
              <w:spacing w:after="40" w:before="40"/>
            </w:pPr>
            <w:r>
              <w:rPr>
                <w:rFonts w:ascii="Calibri" w:cs="Calibri" w:eastAsia="Calibri" w:hAnsi="Calibri"/>
                <w:sz w:val="20"/>
                <w:szCs w:val="20"/>
              </w:rPr>
              <w:t xml:space="preserve">£1,000 to £1,500</w:t>
            </w:r>
          </w:p>
        </w:tc>
        <w:tc>
          <w:tcPr>
            <w:tcW w:type="dxa" w:w="3060"/>
            <w:shd w:fill="F2F5FA" w:val="clear"/>
          </w:tcPr>
          <w:p>
            <w:pPr>
              <w:spacing w:after="40" w:before="40"/>
            </w:pPr>
            <w:r>
              <w:rPr>
                <w:rFonts w:ascii="Calibri" w:cs="Calibri" w:eastAsia="Calibri" w:hAnsi="Calibri"/>
                <w:sz w:val="20"/>
                <w:szCs w:val="20"/>
              </w:rPr>
              <w:t xml:space="preserve">Full commercial pack (£3,000 to £5,000) is funded from first revenues before broad sale</w:t>
            </w:r>
          </w:p>
        </w:tc>
      </w:tr>
      <w:tr>
        <w:tc>
          <w:tcPr>
            <w:tcW w:type="dxa" w:w="4400"/>
          </w:tcPr>
          <w:p>
            <w:pPr>
              <w:spacing w:after="40" w:before="40"/>
            </w:pPr>
            <w:r>
              <w:rPr>
                <w:rFonts w:ascii="Calibri" w:cs="Calibri" w:eastAsia="Calibri" w:hAnsi="Calibri"/>
                <w:sz w:val="20"/>
                <w:szCs w:val="20"/>
              </w:rPr>
              <w:t xml:space="preserve">Design assets</w:t>
            </w:r>
          </w:p>
        </w:tc>
        <w:tc>
          <w:tcPr>
            <w:tcW w:type="dxa" w:w="2100"/>
          </w:tcPr>
          <w:p>
            <w:pPr>
              <w:spacing w:after="40" w:before="40"/>
            </w:pPr>
            <w:r>
              <w:rPr>
                <w:rFonts w:ascii="Calibri" w:cs="Calibri" w:eastAsia="Calibri" w:hAnsi="Calibri"/>
                <w:sz w:val="20"/>
                <w:szCs w:val="20"/>
              </w:rPr>
              <w:t xml:space="preserve">£0</w:t>
            </w:r>
          </w:p>
        </w:tc>
        <w:tc>
          <w:tcPr>
            <w:tcW w:type="dxa" w:w="3060"/>
          </w:tcPr>
          <w:p>
            <w:pPr>
              <w:spacing w:after="40" w:before="40"/>
            </w:pPr>
            <w:r>
              <w:rPr>
                <w:rFonts w:ascii="Calibri" w:cs="Calibri" w:eastAsia="Calibri" w:hAnsi="Calibri"/>
                <w:sz w:val="20"/>
                <w:szCs w:val="20"/>
              </w:rPr>
              <w:t xml:space="preserve">Open-source icons; cut per Panels 1 and 3</w:t>
            </w:r>
          </w:p>
        </w:tc>
      </w:tr>
      <w:tr>
        <w:tc>
          <w:tcPr>
            <w:tcW w:type="dxa" w:w="4400"/>
            <w:shd w:fill="F2F5FA" w:val="clear"/>
          </w:tcPr>
          <w:p>
            <w:pPr>
              <w:spacing w:after="40" w:before="40"/>
            </w:pPr>
            <w:r>
              <w:rPr>
                <w:rFonts w:ascii="Calibri" w:cs="Calibri" w:eastAsia="Calibri" w:hAnsi="Calibri"/>
                <w:sz w:val="20"/>
                <w:szCs w:val="20"/>
              </w:rPr>
              <w:t xml:space="preserve">Contingency (40 per cent of the above)</w:t>
            </w:r>
          </w:p>
        </w:tc>
        <w:tc>
          <w:tcPr>
            <w:tcW w:type="dxa" w:w="2100"/>
            <w:shd w:fill="F2F5FA" w:val="clear"/>
          </w:tcPr>
          <w:p>
            <w:pPr>
              <w:spacing w:after="40" w:before="40"/>
            </w:pPr>
            <w:r>
              <w:rPr>
                <w:rFonts w:ascii="Calibri" w:cs="Calibri" w:eastAsia="Calibri" w:hAnsi="Calibri"/>
                <w:sz w:val="20"/>
                <w:szCs w:val="20"/>
              </w:rPr>
              <w:t xml:space="preserve">£550 to £900</w:t>
            </w:r>
          </w:p>
        </w:tc>
        <w:tc>
          <w:tcPr>
            <w:tcW w:type="dxa" w:w="3060"/>
            <w:shd w:fill="F2F5FA" w:val="clear"/>
          </w:tcPr>
          <w:p>
            <w:pPr>
              <w:spacing w:after="40" w:before="40"/>
            </w:pPr>
            <w:r>
              <w:rPr>
                <w:rFonts w:ascii="Calibri" w:cs="Calibri" w:eastAsia="Calibri" w:hAnsi="Calibri"/>
                <w:sz w:val="20"/>
                <w:szCs w:val="20"/>
              </w:rPr>
              <w:t xml:space="preserve">Raised from 15 per cent per Panel 3</w:t>
            </w:r>
          </w:p>
        </w:tc>
      </w:tr>
      <w:tr>
        <w:tc>
          <w:tcPr>
            <w:tcW w:type="dxa" w:w="4400"/>
          </w:tcPr>
          <w:p>
            <w:pPr>
              <w:spacing w:after="40" w:before="40"/>
            </w:pPr>
            <w:r>
              <w:rPr>
                <w:rFonts w:ascii="Calibri" w:cs="Calibri" w:eastAsia="Calibri" w:hAnsi="Calibri"/>
                <w:sz w:val="20"/>
                <w:szCs w:val="20"/>
              </w:rPr>
              <w:t xml:space="preserve">Total cash to pilot</w:t>
            </w:r>
          </w:p>
        </w:tc>
        <w:tc>
          <w:tcPr>
            <w:tcW w:type="dxa" w:w="2100"/>
          </w:tcPr>
          <w:p>
            <w:pPr>
              <w:spacing w:after="40" w:before="40"/>
            </w:pPr>
            <w:r>
              <w:rPr>
                <w:rFonts w:ascii="Calibri" w:cs="Calibri" w:eastAsia="Calibri" w:hAnsi="Calibri"/>
                <w:sz w:val="20"/>
                <w:szCs w:val="20"/>
              </w:rPr>
              <w:t xml:space="preserve">£2,100 to £3,300</w:t>
            </w:r>
          </w:p>
        </w:tc>
        <w:tc>
          <w:tcPr>
            <w:tcW w:type="dxa" w:w="3060"/>
          </w:tcPr>
          <w:p>
            <w:pPr>
              <w:spacing w:after="40" w:before="40"/>
            </w:pPr>
            <w:r>
              <w:rPr>
                <w:rFonts w:ascii="Calibri" w:cs="Calibri" w:eastAsia="Calibri" w:hAnsi="Calibri"/>
                <w:sz w:val="20"/>
                <w:szCs w:val="20"/>
              </w:rPr>
              <w:t xml:space="preserve">Reduced from v2.0 by the sunk AI subscriptions; founder time of about 530 hours remains the true investment</w:t>
            </w:r>
          </w:p>
        </w:tc>
      </w:tr>
    </w:tbl>
    <w:p>
      <w:pPr>
        <w:spacing w:after="120" w:before="0"/>
      </w:pPr>
      <w:r>
        <w:rPr>
          <w:rFonts w:ascii="Calibri" w:cs="Calibri" w:eastAsia="Calibri" w:hAnsi="Calibri"/>
          <w:sz w:val="22"/>
          <w:szCs w:val="22"/>
        </w:rPr>
        <w:t xml:space="preserve"/>
      </w:r>
    </w:p>
    <w:p>
      <w:pPr>
        <w:pStyle w:val="Heading2"/>
        <w:spacing w:after="140" w:before="260"/>
      </w:pPr>
      <w:r>
        <w:rPr>
          <w:rFonts w:ascii="Calibri" w:cs="Calibri" w:eastAsia="Calibri" w:hAnsi="Calibri"/>
        </w:rPr>
        <w:t xml:space="preserve">7.3 Monthly infrastructure at pilot (10 client companies)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260"/>
      </w:tblGrid>
      <w:tr>
        <w:trPr>
          <w:tblHeader/>
        </w:trPr>
        <w:tc>
          <w:tcPr>
            <w:tcW w:type="dxa" w:w="4200"/>
            <w:shd w:fill="1F3864" w:val="clear"/>
          </w:tcPr>
          <w:p>
            <w:pPr>
              <w:spacing w:after="40" w:before="40"/>
            </w:pPr>
            <w:r>
              <w:rPr>
                <w:rFonts w:ascii="Calibri" w:cs="Calibri" w:eastAsia="Calibri" w:hAnsi="Calibri"/>
                <w:b/>
                <w:bCs/>
                <w:color w:val="FFFFFF"/>
                <w:sz w:val="20"/>
                <w:szCs w:val="20"/>
              </w:rPr>
              <w:t xml:space="preserve">Item</w:t>
            </w:r>
          </w:p>
        </w:tc>
        <w:tc>
          <w:tcPr>
            <w:tcW w:type="dxa" w:w="2100"/>
            <w:shd w:fill="1F3864" w:val="clear"/>
          </w:tcPr>
          <w:p>
            <w:pPr>
              <w:spacing w:after="40" w:before="40"/>
            </w:pPr>
            <w:r>
              <w:rPr>
                <w:rFonts w:ascii="Calibri" w:cs="Calibri" w:eastAsia="Calibri" w:hAnsi="Calibri"/>
                <w:b/>
                <w:bCs/>
                <w:color w:val="FFFFFF"/>
                <w:sz w:val="20"/>
                <w:szCs w:val="20"/>
              </w:rPr>
              <w:t xml:space="preserve">Monthly (estimate)</w:t>
            </w:r>
          </w:p>
        </w:tc>
        <w:tc>
          <w:tcPr>
            <w:tcW w:type="dxa" w:w="3260"/>
            <w:shd w:fill="1F3864" w:val="clear"/>
          </w:tcPr>
          <w:p>
            <w:pPr>
              <w:spacing w:after="40" w:before="40"/>
            </w:pPr>
            <w:r>
              <w:rPr>
                <w:rFonts w:ascii="Calibri" w:cs="Calibri" w:eastAsia="Calibri" w:hAnsi="Calibri"/>
                <w:b/>
                <w:bCs/>
                <w:color w:val="FFFFFF"/>
                <w:sz w:val="20"/>
                <w:szCs w:val="20"/>
              </w:rPr>
              <w:t xml:space="preserve">Note</w:t>
            </w:r>
          </w:p>
        </w:tc>
      </w:tr>
      <w:tr>
        <w:tc>
          <w:tcPr>
            <w:tcW w:type="dxa" w:w="4200"/>
          </w:tcPr>
          <w:p>
            <w:pPr>
              <w:spacing w:after="40" w:before="40"/>
            </w:pPr>
            <w:r>
              <w:rPr>
                <w:rFonts w:ascii="Calibri" w:cs="Calibri" w:eastAsia="Calibri" w:hAnsi="Calibri"/>
                <w:sz w:val="20"/>
                <w:szCs w:val="20"/>
              </w:rPr>
              <w:t xml:space="preserve">Hetzner server (application, Postgres, storage)</w:t>
            </w:r>
          </w:p>
        </w:tc>
        <w:tc>
          <w:tcPr>
            <w:tcW w:type="dxa" w:w="2100"/>
          </w:tcPr>
          <w:p>
            <w:pPr>
              <w:spacing w:after="40" w:before="40"/>
            </w:pPr>
            <w:r>
              <w:rPr>
                <w:rFonts w:ascii="Calibri" w:cs="Calibri" w:eastAsia="Calibri" w:hAnsi="Calibri"/>
                <w:sz w:val="20"/>
                <w:szCs w:val="20"/>
              </w:rPr>
              <w:t xml:space="preserve">£35 to £60</w:t>
            </w:r>
          </w:p>
        </w:tc>
        <w:tc>
          <w:tcPr>
            <w:tcW w:type="dxa" w:w="3260"/>
          </w:tcPr>
          <w:p>
            <w:pPr>
              <w:spacing w:after="40" w:before="40"/>
            </w:pPr>
            <w:r>
              <w:rPr>
                <w:rFonts w:ascii="Calibri" w:cs="Calibri" w:eastAsia="Calibri" w:hAnsi="Calibri"/>
                <w:sz w:val="20"/>
                <w:szCs w:val="20"/>
              </w:rPr>
              <w:t xml:space="preserve">Single instance is acceptable for a supervised pilot with drills</w:t>
            </w:r>
          </w:p>
        </w:tc>
      </w:tr>
      <w:tr>
        <w:tc>
          <w:tcPr>
            <w:tcW w:type="dxa" w:w="4200"/>
            <w:shd w:fill="F2F5FA" w:val="clear"/>
          </w:tcPr>
          <w:p>
            <w:pPr>
              <w:spacing w:after="40" w:before="40"/>
            </w:pPr>
            <w:r>
              <w:rPr>
                <w:rFonts w:ascii="Calibri" w:cs="Calibri" w:eastAsia="Calibri" w:hAnsi="Calibri"/>
                <w:sz w:val="20"/>
                <w:szCs w:val="20"/>
              </w:rPr>
              <w:t xml:space="preserve">Encrypted off-site backups and snapshot storage</w:t>
            </w:r>
          </w:p>
        </w:tc>
        <w:tc>
          <w:tcPr>
            <w:tcW w:type="dxa" w:w="2100"/>
            <w:shd w:fill="F2F5FA" w:val="clear"/>
          </w:tcPr>
          <w:p>
            <w:pPr>
              <w:spacing w:after="40" w:before="40"/>
            </w:pPr>
            <w:r>
              <w:rPr>
                <w:rFonts w:ascii="Calibri" w:cs="Calibri" w:eastAsia="Calibri" w:hAnsi="Calibri"/>
                <w:sz w:val="20"/>
                <w:szCs w:val="20"/>
              </w:rPr>
              <w:t xml:space="preserve">£10 to £20</w:t>
            </w:r>
          </w:p>
        </w:tc>
        <w:tc>
          <w:tcPr>
            <w:tcW w:type="dxa" w:w="3260"/>
            <w:shd w:fill="F2F5FA" w:val="clear"/>
          </w:tcPr>
          <w:p>
            <w:pPr>
              <w:spacing w:after="40" w:before="40"/>
            </w:pPr>
            <w:r>
              <w:rPr>
                <w:rFonts w:ascii="Calibri" w:cs="Calibri" w:eastAsia="Calibri" w:hAnsi="Calibri"/>
                <w:sz w:val="20"/>
                <w:szCs w:val="20"/>
              </w:rPr>
              <w:t xml:space="preserve">Restore drill monthly, documented</w:t>
            </w:r>
          </w:p>
        </w:tc>
      </w:tr>
      <w:tr>
        <w:tc>
          <w:tcPr>
            <w:tcW w:type="dxa" w:w="4200"/>
          </w:tcPr>
          <w:p>
            <w:pPr>
              <w:spacing w:after="40" w:before="40"/>
            </w:pPr>
            <w:r>
              <w:rPr>
                <w:rFonts w:ascii="Calibri" w:cs="Calibri" w:eastAsia="Calibri" w:hAnsi="Calibri"/>
                <w:sz w:val="20"/>
                <w:szCs w:val="20"/>
              </w:rPr>
              <w:t xml:space="preserve">LLM classification</w:t>
            </w:r>
          </w:p>
        </w:tc>
        <w:tc>
          <w:tcPr>
            <w:tcW w:type="dxa" w:w="2100"/>
          </w:tcPr>
          <w:p>
            <w:pPr>
              <w:spacing w:after="40" w:before="40"/>
            </w:pPr>
            <w:r>
              <w:rPr>
                <w:rFonts w:ascii="Calibri" w:cs="Calibri" w:eastAsia="Calibri" w:hAnsi="Calibri"/>
                <w:sz w:val="20"/>
                <w:szCs w:val="20"/>
              </w:rPr>
              <w:t xml:space="preserve">£10 to £40</w:t>
            </w:r>
          </w:p>
        </w:tc>
        <w:tc>
          <w:tcPr>
            <w:tcW w:type="dxa" w:w="3260"/>
          </w:tcPr>
          <w:p>
            <w:pPr>
              <w:spacing w:after="40" w:before="40"/>
            </w:pPr>
            <w:r>
              <w:rPr>
                <w:rFonts w:ascii="Calibri" w:cs="Calibri" w:eastAsia="Calibri" w:hAnsi="Calibri"/>
                <w:sz w:val="20"/>
                <w:szCs w:val="20"/>
              </w:rPr>
              <w:t xml:space="preserve">Corrected arithmetic: 10 clients averaging 1,200 transactions, 15 per cent AI-routed falling toward 8 per cent as rules learn; cost per call under 1p</w:t>
            </w:r>
          </w:p>
        </w:tc>
      </w:tr>
      <w:tr>
        <w:tc>
          <w:tcPr>
            <w:tcW w:type="dxa" w:w="4200"/>
            <w:shd w:fill="F2F5FA" w:val="clear"/>
          </w:tcPr>
          <w:p>
            <w:pPr>
              <w:spacing w:after="40" w:before="40"/>
            </w:pPr>
            <w:r>
              <w:rPr>
                <w:rFonts w:ascii="Calibri" w:cs="Calibri" w:eastAsia="Calibri" w:hAnsi="Calibri"/>
                <w:sz w:val="20"/>
                <w:szCs w:val="20"/>
              </w:rPr>
              <w:t xml:space="preserve">Monitoring, error tracking, uptime</w:t>
            </w:r>
          </w:p>
        </w:tc>
        <w:tc>
          <w:tcPr>
            <w:tcW w:type="dxa" w:w="2100"/>
            <w:shd w:fill="F2F5FA" w:val="clear"/>
          </w:tcPr>
          <w:p>
            <w:pPr>
              <w:spacing w:after="40" w:before="40"/>
            </w:pPr>
            <w:r>
              <w:rPr>
                <w:rFonts w:ascii="Calibri" w:cs="Calibri" w:eastAsia="Calibri" w:hAnsi="Calibri"/>
                <w:sz w:val="20"/>
                <w:szCs w:val="20"/>
              </w:rPr>
              <w:t xml:space="preserve">£5 to £15</w:t>
            </w:r>
          </w:p>
        </w:tc>
        <w:tc>
          <w:tcPr>
            <w:tcW w:type="dxa" w:w="3260"/>
            <w:shd w:fill="F2F5FA" w:val="clear"/>
          </w:tcPr>
          <w:p>
            <w:pPr>
              <w:spacing w:after="40" w:before="40"/>
            </w:pPr>
            <w:r>
              <w:rPr>
                <w:rFonts w:ascii="Calibri" w:cs="Calibri" w:eastAsia="Calibri" w:hAnsi="Calibri"/>
                <w:sz w:val="20"/>
                <w:szCs w:val="20"/>
              </w:rPr>
              <w:t xml:space="preserve">Raised per the panels</w:t>
            </w:r>
          </w:p>
        </w:tc>
      </w:tr>
      <w:tr>
        <w:tc>
          <w:tcPr>
            <w:tcW w:type="dxa" w:w="4200"/>
          </w:tcPr>
          <w:p>
            <w:pPr>
              <w:spacing w:after="40" w:before="40"/>
            </w:pPr>
            <w:r>
              <w:rPr>
                <w:rFonts w:ascii="Calibri" w:cs="Calibri" w:eastAsia="Calibri" w:hAnsi="Calibri"/>
                <w:sz w:val="20"/>
                <w:szCs w:val="20"/>
              </w:rPr>
              <w:t xml:space="preserve">Transactional email</w:t>
            </w:r>
          </w:p>
        </w:tc>
        <w:tc>
          <w:tcPr>
            <w:tcW w:type="dxa" w:w="2100"/>
          </w:tcPr>
          <w:p>
            <w:pPr>
              <w:spacing w:after="40" w:before="40"/>
            </w:pPr>
            <w:r>
              <w:rPr>
                <w:rFonts w:ascii="Calibri" w:cs="Calibri" w:eastAsia="Calibri" w:hAnsi="Calibri"/>
                <w:sz w:val="20"/>
                <w:szCs w:val="20"/>
              </w:rPr>
              <w:t xml:space="preserve">£0 to £15</w:t>
            </w:r>
          </w:p>
        </w:tc>
        <w:tc>
          <w:tcPr>
            <w:tcW w:type="dxa" w:w="3260"/>
          </w:tcPr>
          <w:p>
            <w:pPr>
              <w:spacing w:after="40" w:before="40"/>
            </w:pPr>
            <w:r>
              <w:rPr>
                <w:rFonts w:ascii="Calibri" w:cs="Calibri" w:eastAsia="Calibri" w:hAnsi="Calibri"/>
                <w:sz w:val="20"/>
                <w:szCs w:val="20"/>
              </w:rPr>
              <w:t xml:space="preserve">Free tier initially</w:t>
            </w:r>
          </w:p>
        </w:tc>
      </w:tr>
      <w:tr>
        <w:tc>
          <w:tcPr>
            <w:tcW w:type="dxa" w:w="4200"/>
            <w:shd w:fill="F2F5FA" w:val="clear"/>
          </w:tcPr>
          <w:p>
            <w:pPr>
              <w:spacing w:after="40" w:before="40"/>
            </w:pPr>
            <w:r>
              <w:rPr>
                <w:rFonts w:ascii="Calibri" w:cs="Calibri" w:eastAsia="Calibri" w:hAnsi="Calibri"/>
                <w:sz w:val="20"/>
                <w:szCs w:val="20"/>
              </w:rPr>
              <w:t xml:space="preserve">Total</w:t>
            </w:r>
          </w:p>
        </w:tc>
        <w:tc>
          <w:tcPr>
            <w:tcW w:type="dxa" w:w="2100"/>
            <w:shd w:fill="F2F5FA" w:val="clear"/>
          </w:tcPr>
          <w:p>
            <w:pPr>
              <w:spacing w:after="40" w:before="40"/>
            </w:pPr>
            <w:r>
              <w:rPr>
                <w:rFonts w:ascii="Calibri" w:cs="Calibri" w:eastAsia="Calibri" w:hAnsi="Calibri"/>
                <w:sz w:val="20"/>
                <w:szCs w:val="20"/>
              </w:rPr>
              <w:t xml:space="preserve">£60 to £130</w:t>
            </w:r>
          </w:p>
        </w:tc>
        <w:tc>
          <w:tcPr>
            <w:tcW w:type="dxa" w:w="3260"/>
            <w:shd w:fill="F2F5FA" w:val="clear"/>
          </w:tcPr>
          <w:p>
            <w:pPr>
              <w:spacing w:after="40" w:before="40"/>
            </w:pPr>
            <w:r>
              <w:rPr>
                <w:rFonts w:ascii="Calibri" w:cs="Calibri" w:eastAsia="Calibri" w:hAnsi="Calibri"/>
                <w:sz w:val="20"/>
                <w:szCs w:val="20"/>
              </w:rPr>
              <w:t xml:space="preserve">£6 to £13 per client; capped at 10 per cent of any client's subscription</w:t>
            </w:r>
          </w:p>
        </w:tc>
      </w:tr>
    </w:tbl>
    <w:p>
      <w:pPr>
        <w:spacing w:after="120" w:before="0"/>
      </w:pPr>
      <w:r>
        <w:rPr>
          <w:rFonts w:ascii="Calibri" w:cs="Calibri" w:eastAsia="Calibri" w:hAnsi="Calibri"/>
          <w:sz w:val="22"/>
          <w:szCs w:val="22"/>
        </w:rPr>
        <w:t xml:space="preserve"/>
      </w:r>
    </w:p>
    <w:p>
      <w:pPr>
        <w:pStyle w:val="Heading2"/>
        <w:spacing w:after="140" w:before="260"/>
      </w:pPr>
      <w:r>
        <w:rPr>
          <w:rFonts w:ascii="Calibri" w:cs="Calibri" w:eastAsia="Calibri" w:hAnsi="Calibri"/>
        </w:rPr>
        <w:t xml:space="preserve">7.4 Fixed operating costs, year one (from first paying client)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400"/>
        <w:gridCol w:w="2100"/>
        <w:gridCol w:w="3060"/>
      </w:tblGrid>
      <w:tr>
        <w:trPr>
          <w:tblHeader/>
        </w:trPr>
        <w:tc>
          <w:tcPr>
            <w:tcW w:type="dxa" w:w="4400"/>
            <w:shd w:fill="1F3864" w:val="clear"/>
          </w:tcPr>
          <w:p>
            <w:pPr>
              <w:spacing w:after="40" w:before="40"/>
            </w:pPr>
            <w:r>
              <w:rPr>
                <w:rFonts w:ascii="Calibri" w:cs="Calibri" w:eastAsia="Calibri" w:hAnsi="Calibri"/>
                <w:b/>
                <w:bCs/>
                <w:color w:val="FFFFFF"/>
                <w:sz w:val="20"/>
                <w:szCs w:val="20"/>
              </w:rPr>
              <w:t xml:space="preserve">Item</w:t>
            </w:r>
          </w:p>
        </w:tc>
        <w:tc>
          <w:tcPr>
            <w:tcW w:type="dxa" w:w="2100"/>
            <w:shd w:fill="1F3864" w:val="clear"/>
          </w:tcPr>
          <w:p>
            <w:pPr>
              <w:spacing w:after="40" w:before="40"/>
            </w:pPr>
            <w:r>
              <w:rPr>
                <w:rFonts w:ascii="Calibri" w:cs="Calibri" w:eastAsia="Calibri" w:hAnsi="Calibri"/>
                <w:b/>
                <w:bCs/>
                <w:color w:val="FFFFFF"/>
                <w:sz w:val="20"/>
                <w:szCs w:val="20"/>
              </w:rPr>
              <w:t xml:space="preserve">Annual (estimate)</w:t>
            </w:r>
          </w:p>
        </w:tc>
        <w:tc>
          <w:tcPr>
            <w:tcW w:type="dxa" w:w="3060"/>
            <w:shd w:fill="1F3864" w:val="clear"/>
          </w:tcPr>
          <w:p>
            <w:pPr>
              <w:spacing w:after="40" w:before="40"/>
            </w:pPr>
            <w:r>
              <w:rPr>
                <w:rFonts w:ascii="Calibri" w:cs="Calibri" w:eastAsia="Calibri" w:hAnsi="Calibri"/>
                <w:b/>
                <w:bCs/>
                <w:color w:val="FFFFFF"/>
                <w:sz w:val="20"/>
                <w:szCs w:val="20"/>
              </w:rPr>
              <w:t xml:space="preserve">Note</w:t>
            </w:r>
          </w:p>
        </w:tc>
      </w:tr>
      <w:tr>
        <w:tc>
          <w:tcPr>
            <w:tcW w:type="dxa" w:w="4400"/>
          </w:tcPr>
          <w:p>
            <w:pPr>
              <w:spacing w:after="40" w:before="40"/>
            </w:pPr>
            <w:r>
              <w:rPr>
                <w:rFonts w:ascii="Calibri" w:cs="Calibri" w:eastAsia="Calibri" w:hAnsi="Calibri"/>
                <w:sz w:val="20"/>
                <w:szCs w:val="20"/>
              </w:rPr>
              <w:t xml:space="preserve">Professional indemnity (technology plus accountancy services)</w:t>
            </w:r>
          </w:p>
        </w:tc>
        <w:tc>
          <w:tcPr>
            <w:tcW w:type="dxa" w:w="2100"/>
          </w:tcPr>
          <w:p>
            <w:pPr>
              <w:spacing w:after="40" w:before="40"/>
            </w:pPr>
            <w:r>
              <w:rPr>
                <w:rFonts w:ascii="Calibri" w:cs="Calibri" w:eastAsia="Calibri" w:hAnsi="Calibri"/>
                <w:sz w:val="20"/>
                <w:szCs w:val="20"/>
              </w:rPr>
              <w:t xml:space="preserve">£2,500 to £5,000</w:t>
            </w:r>
          </w:p>
        </w:tc>
        <w:tc>
          <w:tcPr>
            <w:tcW w:type="dxa" w:w="3060"/>
          </w:tcPr>
          <w:p>
            <w:pPr>
              <w:spacing w:after="40" w:before="40"/>
            </w:pPr>
            <w:r>
              <w:rPr>
                <w:rFonts w:ascii="Calibri" w:cs="Calibri" w:eastAsia="Calibri" w:hAnsi="Calibri"/>
                <w:sz w:val="20"/>
                <w:szCs w:val="20"/>
              </w:rPr>
              <w:t xml:space="preserve">Raised per all panels; non-binding broker quote obtained during build (Assumption 3 test)</w:t>
            </w:r>
          </w:p>
        </w:tc>
      </w:tr>
      <w:tr>
        <w:tc>
          <w:tcPr>
            <w:tcW w:type="dxa" w:w="4400"/>
            <w:shd w:fill="F2F5FA" w:val="clear"/>
          </w:tcPr>
          <w:p>
            <w:pPr>
              <w:spacing w:after="40" w:before="40"/>
            </w:pPr>
            <w:r>
              <w:rPr>
                <w:rFonts w:ascii="Calibri" w:cs="Calibri" w:eastAsia="Calibri" w:hAnsi="Calibri"/>
                <w:sz w:val="20"/>
                <w:szCs w:val="20"/>
              </w:rPr>
              <w:t xml:space="preserve">AML supervision and compliance time</w:t>
            </w:r>
          </w:p>
        </w:tc>
        <w:tc>
          <w:tcPr>
            <w:tcW w:type="dxa" w:w="2100"/>
            <w:shd w:fill="F2F5FA" w:val="clear"/>
          </w:tcPr>
          <w:p>
            <w:pPr>
              <w:spacing w:after="40" w:before="40"/>
            </w:pPr>
            <w:r>
              <w:rPr>
                <w:rFonts w:ascii="Calibri" w:cs="Calibri" w:eastAsia="Calibri" w:hAnsi="Calibri"/>
                <w:sz w:val="20"/>
                <w:szCs w:val="20"/>
              </w:rPr>
              <w:t xml:space="preserve">£300 to £1,000</w:t>
            </w:r>
          </w:p>
        </w:tc>
        <w:tc>
          <w:tcPr>
            <w:tcW w:type="dxa" w:w="3060"/>
            <w:shd w:fill="F2F5FA" w:val="clear"/>
          </w:tcPr>
          <w:p>
            <w:pPr>
              <w:spacing w:after="40" w:before="40"/>
            </w:pPr>
            <w:r>
              <w:rPr>
                <w:rFonts w:ascii="Calibri" w:cs="Calibri" w:eastAsia="Calibri" w:hAnsi="Calibri"/>
                <w:sz w:val="20"/>
                <w:szCs w:val="20"/>
              </w:rPr>
              <w:t xml:space="preserve">Written confirmation from ACCA or supervisor before first paying client; a private confirmation, not a launch approval</w:t>
            </w:r>
          </w:p>
        </w:tc>
      </w:tr>
      <w:tr>
        <w:tc>
          <w:tcPr>
            <w:tcW w:type="dxa" w:w="4400"/>
          </w:tcPr>
          <w:p>
            <w:pPr>
              <w:spacing w:after="40" w:before="40"/>
            </w:pPr>
            <w:r>
              <w:rPr>
                <w:rFonts w:ascii="Calibri" w:cs="Calibri" w:eastAsia="Calibri" w:hAnsi="Calibri"/>
                <w:sz w:val="20"/>
                <w:szCs w:val="20"/>
              </w:rPr>
              <w:t xml:space="preserve">ICO data protection fee</w:t>
            </w:r>
          </w:p>
        </w:tc>
        <w:tc>
          <w:tcPr>
            <w:tcW w:type="dxa" w:w="2100"/>
          </w:tcPr>
          <w:p>
            <w:pPr>
              <w:spacing w:after="40" w:before="40"/>
            </w:pPr>
            <w:r>
              <w:rPr>
                <w:rFonts w:ascii="Calibri" w:cs="Calibri" w:eastAsia="Calibri" w:hAnsi="Calibri"/>
                <w:sz w:val="20"/>
                <w:szCs w:val="20"/>
              </w:rPr>
              <w:t xml:space="preserve">£0 in year one</w:t>
            </w:r>
          </w:p>
        </w:tc>
        <w:tc>
          <w:tcPr>
            <w:tcW w:type="dxa" w:w="3060"/>
          </w:tcPr>
          <w:p>
            <w:pPr>
              <w:spacing w:after="40" w:before="40"/>
            </w:pPr>
            <w:r>
              <w:rPr>
                <w:rFonts w:ascii="Calibri" w:cs="Calibri" w:eastAsia="Calibri" w:hAnsi="Calibri"/>
                <w:sz w:val="20"/>
                <w:szCs w:val="20"/>
              </w:rPr>
              <w:t xml:space="preserve">Already registered by the sponsor; renewal £52 to £78 annually</w:t>
            </w:r>
          </w:p>
        </w:tc>
      </w:tr>
      <w:tr>
        <w:tc>
          <w:tcPr>
            <w:tcW w:type="dxa" w:w="4400"/>
            <w:shd w:fill="F2F5FA" w:val="clear"/>
          </w:tcPr>
          <w:p>
            <w:pPr>
              <w:spacing w:after="40" w:before="40"/>
            </w:pPr>
            <w:r>
              <w:rPr>
                <w:rFonts w:ascii="Calibri" w:cs="Calibri" w:eastAsia="Calibri" w:hAnsi="Calibri"/>
                <w:sz w:val="20"/>
                <w:szCs w:val="20"/>
              </w:rPr>
              <w:t xml:space="preserve">Legal completion (full commercial pack)</w:t>
            </w:r>
          </w:p>
        </w:tc>
        <w:tc>
          <w:tcPr>
            <w:tcW w:type="dxa" w:w="2100"/>
            <w:shd w:fill="F2F5FA" w:val="clear"/>
          </w:tcPr>
          <w:p>
            <w:pPr>
              <w:spacing w:after="40" w:before="40"/>
            </w:pPr>
            <w:r>
              <w:rPr>
                <w:rFonts w:ascii="Calibri" w:cs="Calibri" w:eastAsia="Calibri" w:hAnsi="Calibri"/>
                <w:sz w:val="20"/>
                <w:szCs w:val="20"/>
              </w:rPr>
              <w:t xml:space="preserve">£3,000 to £5,000</w:t>
            </w:r>
          </w:p>
        </w:tc>
        <w:tc>
          <w:tcPr>
            <w:tcW w:type="dxa" w:w="3060"/>
            <w:shd w:fill="F2F5FA" w:val="clear"/>
          </w:tcPr>
          <w:p>
            <w:pPr>
              <w:spacing w:after="40" w:before="40"/>
            </w:pPr>
            <w:r>
              <w:rPr>
                <w:rFonts w:ascii="Calibri" w:cs="Calibri" w:eastAsia="Calibri" w:hAnsi="Calibri"/>
                <w:sz w:val="20"/>
                <w:szCs w:val="20"/>
              </w:rPr>
              <w:t xml:space="preserve">Staged; funded from revenue</w:t>
            </w:r>
          </w:p>
        </w:tc>
      </w:tr>
      <w:tr>
        <w:tc>
          <w:tcPr>
            <w:tcW w:type="dxa" w:w="4400"/>
          </w:tcPr>
          <w:p>
            <w:pPr>
              <w:spacing w:after="40" w:before="40"/>
            </w:pPr>
            <w:r>
              <w:rPr>
                <w:rFonts w:ascii="Calibri" w:cs="Calibri" w:eastAsia="Calibri" w:hAnsi="Calibri"/>
                <w:sz w:val="20"/>
                <w:szCs w:val="20"/>
              </w:rPr>
              <w:t xml:space="preserve">Cyber Essentials plus remediation time</w:t>
            </w:r>
          </w:p>
        </w:tc>
        <w:tc>
          <w:tcPr>
            <w:tcW w:type="dxa" w:w="2100"/>
          </w:tcPr>
          <w:p>
            <w:pPr>
              <w:spacing w:after="40" w:before="40"/>
            </w:pPr>
            <w:r>
              <w:rPr>
                <w:rFonts w:ascii="Calibri" w:cs="Calibri" w:eastAsia="Calibri" w:hAnsi="Calibri"/>
                <w:sz w:val="20"/>
                <w:szCs w:val="20"/>
              </w:rPr>
              <w:t xml:space="preserve">£400 to £700</w:t>
            </w:r>
          </w:p>
        </w:tc>
        <w:tc>
          <w:tcPr>
            <w:tcW w:type="dxa" w:w="3060"/>
          </w:tcPr>
          <w:p>
            <w:pPr>
              <w:spacing w:after="40" w:before="40"/>
            </w:pPr>
            <w:r>
              <w:rPr>
                <w:rFonts w:ascii="Calibri" w:cs="Calibri" w:eastAsia="Calibri" w:hAnsi="Calibri"/>
                <w:sz w:val="20"/>
                <w:szCs w:val="20"/>
              </w:rPr>
              <w:t xml:space="preserve">Fees £320 to £500 plus VAT per IASME</w:t>
            </w:r>
          </w:p>
        </w:tc>
      </w:tr>
      <w:tr>
        <w:tc>
          <w:tcPr>
            <w:tcW w:type="dxa" w:w="4400"/>
            <w:shd w:fill="F2F5FA" w:val="clear"/>
          </w:tcPr>
          <w:p>
            <w:pPr>
              <w:spacing w:after="40" w:before="40"/>
            </w:pPr>
            <w:r>
              <w:rPr>
                <w:rFonts w:ascii="Calibri" w:cs="Calibri" w:eastAsia="Calibri" w:hAnsi="Calibri"/>
                <w:sz w:val="20"/>
                <w:szCs w:val="20"/>
              </w:rPr>
              <w:t xml:space="preserve">Total year one</w:t>
            </w:r>
          </w:p>
        </w:tc>
        <w:tc>
          <w:tcPr>
            <w:tcW w:type="dxa" w:w="2100"/>
            <w:shd w:fill="F2F5FA" w:val="clear"/>
          </w:tcPr>
          <w:p>
            <w:pPr>
              <w:spacing w:after="40" w:before="40"/>
            </w:pPr>
            <w:r>
              <w:rPr>
                <w:rFonts w:ascii="Calibri" w:cs="Calibri" w:eastAsia="Calibri" w:hAnsi="Calibri"/>
                <w:sz w:val="20"/>
                <w:szCs w:val="20"/>
              </w:rPr>
              <w:t xml:space="preserve">£6,200 to £11,300</w:t>
            </w:r>
          </w:p>
        </w:tc>
        <w:tc>
          <w:tcPr>
            <w:tcW w:type="dxa" w:w="3060"/>
            <w:shd w:fill="F2F5FA" w:val="clear"/>
          </w:tcPr>
          <w:p>
            <w:pPr>
              <w:spacing w:after="40" w:before="40"/>
            </w:pPr>
            <w:r>
              <w:rPr>
                <w:rFonts w:ascii="Calibri" w:cs="Calibri" w:eastAsia="Calibri" w:hAnsi="Calibri"/>
                <w:sz w:val="20"/>
                <w:szCs w:val="20"/>
              </w:rPr>
              <w:t xml:space="preserve">£515 to £940 per month</w:t>
            </w:r>
          </w:p>
        </w:tc>
      </w:tr>
    </w:tbl>
    <w:p>
      <w:pPr>
        <w:spacing w:after="120" w:before="0"/>
      </w:pPr>
      <w:r>
        <w:rPr>
          <w:rFonts w:ascii="Calibri" w:cs="Calibri" w:eastAsia="Calibri" w:hAnsi="Calibri"/>
          <w:sz w:val="22"/>
          <w:szCs w:val="22"/>
        </w:rPr>
        <w:t xml:space="preserve"/>
      </w:r>
    </w:p>
    <w:p>
      <w:pPr>
        <w:pStyle w:val="Heading2"/>
        <w:spacing w:after="140" w:before="260"/>
      </w:pPr>
      <w:r>
        <w:rPr>
          <w:rFonts w:ascii="Calibri" w:cs="Calibri" w:eastAsia="Calibri" w:hAnsi="Calibri"/>
        </w:rPr>
        <w:t xml:space="preserve">7.5 Human hours cost (revised)</w:t>
      </w:r>
    </w:p>
    <w:p>
      <w:pPr>
        <w:spacing w:after="160" w:before="0"/>
      </w:pPr>
      <w:r>
        <w:rPr>
          <w:rFonts w:ascii="Calibri" w:cs="Calibri" w:eastAsia="Calibri" w:hAnsi="Calibri"/>
          <w:sz w:val="22"/>
          <w:szCs w:val="22"/>
        </w:rPr>
        <w:t xml:space="preserve">Internal cost of qualified review and advisory: £45 to £75 per hour (contract ACCA/ICAEW capacity), per Panels 2 and 3. Onboarding effort per client: 2 to 6 hours. Monthly review: 1 to 3 hours at launch, falling toward 45 minutes only when a client's rules mature (a measured milestone, not an assumption). Representation billed at £165 against internal cost of £60 to £75.</w:t>
      </w:r>
    </w:p>
    <w:p>
      <w:pPr>
        <w:pStyle w:val="Heading1"/>
        <w:spacing w:after="180" w:before="320"/>
      </w:pPr>
      <w:r>
        <w:rPr>
          <w:rFonts w:ascii="Calibri" w:cs="Calibri" w:eastAsia="Calibri" w:hAnsi="Calibri"/>
        </w:rPr>
        <w:t xml:space="preserve">8. Pricing and Unit Economics (Restated Honestly)</w:t>
      </w:r>
    </w:p>
    <w:p>
      <w:pPr>
        <w:pStyle w:val="Heading2"/>
        <w:spacing w:after="140" w:before="260"/>
      </w:pPr>
      <w:r>
        <w:rPr>
          <w:rFonts w:ascii="Calibri" w:cs="Calibri" w:eastAsia="Calibri" w:hAnsi="Calibri"/>
        </w:rPr>
        <w:t xml:space="preserve">8.1 Unit economics per Close-tier client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100"/>
        <w:gridCol w:w="1860"/>
      </w:tblGrid>
      <w:tr>
        <w:trPr>
          <w:tblHeader/>
        </w:trPr>
        <w:tc>
          <w:tcPr>
            <w:tcW w:type="dxa" w:w="3300"/>
            <w:shd w:fill="1F3864" w:val="clear"/>
          </w:tcPr>
          <w:p>
            <w:pPr>
              <w:spacing w:after="40" w:before="40"/>
            </w:pPr>
            <w:r>
              <w:rPr>
                <w:rFonts w:ascii="Calibri" w:cs="Calibri" w:eastAsia="Calibri" w:hAnsi="Calibri"/>
                <w:b/>
                <w:bCs/>
                <w:color w:val="FFFFFF"/>
                <w:sz w:val="20"/>
                <w:szCs w:val="20"/>
              </w:rPr>
              <w:t xml:space="preserve">Line</w:t>
            </w:r>
          </w:p>
        </w:tc>
        <w:tc>
          <w:tcPr>
            <w:tcW w:type="dxa" w:w="2100"/>
            <w:shd w:fill="1F3864" w:val="clear"/>
          </w:tcPr>
          <w:p>
            <w:pPr>
              <w:spacing w:after="40" w:before="40"/>
            </w:pPr>
            <w:r>
              <w:rPr>
                <w:rFonts w:ascii="Calibri" w:cs="Calibri" w:eastAsia="Calibri" w:hAnsi="Calibri"/>
                <w:b/>
                <w:bCs/>
                <w:color w:val="FFFFFF"/>
                <w:sz w:val="20"/>
                <w:szCs w:val="20"/>
              </w:rPr>
              <w:t xml:space="preserve">Month 1 to 3</w:t>
            </w:r>
          </w:p>
        </w:tc>
        <w:tc>
          <w:tcPr>
            <w:tcW w:type="dxa" w:w="2100"/>
            <w:shd w:fill="1F3864" w:val="clear"/>
          </w:tcPr>
          <w:p>
            <w:pPr>
              <w:spacing w:after="40" w:before="40"/>
            </w:pPr>
            <w:r>
              <w:rPr>
                <w:rFonts w:ascii="Calibri" w:cs="Calibri" w:eastAsia="Calibri" w:hAnsi="Calibri"/>
                <w:b/>
                <w:bCs/>
                <w:color w:val="FFFFFF"/>
                <w:sz w:val="20"/>
                <w:szCs w:val="20"/>
              </w:rPr>
              <w:t xml:space="preserve">Month 6 onward</w:t>
            </w:r>
          </w:p>
        </w:tc>
        <w:tc>
          <w:tcPr>
            <w:tcW w:type="dxa" w:w="1860"/>
            <w:shd w:fill="1F3864" w:val="clear"/>
          </w:tcPr>
          <w:p>
            <w:pPr>
              <w:spacing w:after="40" w:before="40"/>
            </w:pPr>
            <w:r>
              <w:rPr>
                <w:rFonts w:ascii="Calibri" w:cs="Calibri" w:eastAsia="Calibri" w:hAnsi="Calibri"/>
                <w:b/>
                <w:bCs/>
                <w:color w:val="FFFFFF"/>
                <w:sz w:val="20"/>
                <w:szCs w:val="20"/>
              </w:rPr>
              <w:t xml:space="preserve">Note</w:t>
            </w:r>
          </w:p>
        </w:tc>
      </w:tr>
      <w:tr>
        <w:tc>
          <w:tcPr>
            <w:tcW w:type="dxa" w:w="3300"/>
          </w:tcPr>
          <w:p>
            <w:pPr>
              <w:spacing w:after="40" w:before="40"/>
            </w:pPr>
            <w:r>
              <w:rPr>
                <w:rFonts w:ascii="Calibri" w:cs="Calibri" w:eastAsia="Calibri" w:hAnsi="Calibri"/>
                <w:sz w:val="20"/>
                <w:szCs w:val="20"/>
              </w:rPr>
              <w:t xml:space="preserve">Subscription revenue</w:t>
            </w:r>
          </w:p>
        </w:tc>
        <w:tc>
          <w:tcPr>
            <w:tcW w:type="dxa" w:w="2100"/>
          </w:tcPr>
          <w:p>
            <w:pPr>
              <w:spacing w:after="40" w:before="40"/>
            </w:pPr>
            <w:r>
              <w:rPr>
                <w:rFonts w:ascii="Calibri" w:cs="Calibri" w:eastAsia="Calibri" w:hAnsi="Calibri"/>
                <w:sz w:val="20"/>
                <w:szCs w:val="20"/>
              </w:rPr>
              <w:t xml:space="preserve">£649</w:t>
            </w:r>
          </w:p>
        </w:tc>
        <w:tc>
          <w:tcPr>
            <w:tcW w:type="dxa" w:w="2100"/>
          </w:tcPr>
          <w:p>
            <w:pPr>
              <w:spacing w:after="40" w:before="40"/>
            </w:pPr>
            <w:r>
              <w:rPr>
                <w:rFonts w:ascii="Calibri" w:cs="Calibri" w:eastAsia="Calibri" w:hAnsi="Calibri"/>
                <w:sz w:val="20"/>
                <w:szCs w:val="20"/>
              </w:rPr>
              <w:t xml:space="preserve">£649</w:t>
            </w:r>
          </w:p>
        </w:tc>
        <w:tc>
          <w:tcPr>
            <w:tcW w:type="dxa" w:w="1860"/>
          </w:tcPr>
          <w:p>
            <w:pPr>
              <w:spacing w:after="40" w:before="40"/>
            </w:pPr>
            <w:r>
              <w:rPr>
                <w:rFonts w:ascii="Calibri" w:cs="Calibri" w:eastAsia="Calibri" w:hAnsi="Calibri"/>
                <w:sz w:val="20"/>
                <w:szCs w:val="20"/>
              </w:rPr>
              <w:t xml:space="preserve">Plus one-off implementation fee £750 to £1,500</w:t>
            </w:r>
          </w:p>
        </w:tc>
      </w:tr>
      <w:tr>
        <w:tc>
          <w:tcPr>
            <w:tcW w:type="dxa" w:w="3300"/>
            <w:shd w:fill="F2F5FA" w:val="clear"/>
          </w:tcPr>
          <w:p>
            <w:pPr>
              <w:spacing w:after="40" w:before="40"/>
            </w:pPr>
            <w:r>
              <w:rPr>
                <w:rFonts w:ascii="Calibri" w:cs="Calibri" w:eastAsia="Calibri" w:hAnsi="Calibri"/>
                <w:sz w:val="20"/>
                <w:szCs w:val="20"/>
              </w:rPr>
              <w:t xml:space="preserve">Infrastructure</w:t>
            </w:r>
          </w:p>
        </w:tc>
        <w:tc>
          <w:tcPr>
            <w:tcW w:type="dxa" w:w="2100"/>
            <w:shd w:fill="F2F5FA" w:val="clear"/>
          </w:tcPr>
          <w:p>
            <w:pPr>
              <w:spacing w:after="40" w:before="40"/>
            </w:pPr>
            <w:r>
              <w:rPr>
                <w:rFonts w:ascii="Calibri" w:cs="Calibri" w:eastAsia="Calibri" w:hAnsi="Calibri"/>
                <w:sz w:val="20"/>
                <w:szCs w:val="20"/>
              </w:rPr>
              <w:t xml:space="preserve">£8 to £13</w:t>
            </w:r>
          </w:p>
        </w:tc>
        <w:tc>
          <w:tcPr>
            <w:tcW w:type="dxa" w:w="2100"/>
            <w:shd w:fill="F2F5FA" w:val="clear"/>
          </w:tcPr>
          <w:p>
            <w:pPr>
              <w:spacing w:after="40" w:before="40"/>
            </w:pPr>
            <w:r>
              <w:rPr>
                <w:rFonts w:ascii="Calibri" w:cs="Calibri" w:eastAsia="Calibri" w:hAnsi="Calibri"/>
                <w:sz w:val="20"/>
                <w:szCs w:val="20"/>
              </w:rPr>
              <w:t xml:space="preserve">£6 to £10</w:t>
            </w:r>
          </w:p>
        </w:tc>
        <w:tc>
          <w:tcPr>
            <w:tcW w:type="dxa" w:w="1860"/>
            <w:shd w:fill="F2F5FA" w:val="clear"/>
          </w:tcPr>
          <w:p>
            <w:pPr>
              <w:spacing w:after="40" w:before="40"/>
            </w:pPr>
            <w:r>
              <w:rPr>
                <w:rFonts w:ascii="Calibri" w:cs="Calibri" w:eastAsia="Calibri" w:hAnsi="Calibri"/>
                <w:sz w:val="20"/>
                <w:szCs w:val="20"/>
              </w:rPr>
              <w:t xml:space="preserve">Section 7.3</w:t>
            </w:r>
          </w:p>
        </w:tc>
      </w:tr>
      <w:tr>
        <w:tc>
          <w:tcPr>
            <w:tcW w:type="dxa" w:w="3300"/>
          </w:tcPr>
          <w:p>
            <w:pPr>
              <w:spacing w:after="40" w:before="40"/>
            </w:pPr>
            <w:r>
              <w:rPr>
                <w:rFonts w:ascii="Calibri" w:cs="Calibri" w:eastAsia="Calibri" w:hAnsi="Calibri"/>
                <w:sz w:val="20"/>
                <w:szCs w:val="20"/>
              </w:rPr>
              <w:t xml:space="preserve">Review and support hours (at £55 internal)</w:t>
            </w:r>
          </w:p>
        </w:tc>
        <w:tc>
          <w:tcPr>
            <w:tcW w:type="dxa" w:w="2100"/>
          </w:tcPr>
          <w:p>
            <w:pPr>
              <w:spacing w:after="40" w:before="40"/>
            </w:pPr>
            <w:r>
              <w:rPr>
                <w:rFonts w:ascii="Calibri" w:cs="Calibri" w:eastAsia="Calibri" w:hAnsi="Calibri"/>
                <w:sz w:val="20"/>
                <w:szCs w:val="20"/>
              </w:rPr>
              <w:t xml:space="preserve">£110 to £165 (2 to 3 hours)</w:t>
            </w:r>
          </w:p>
        </w:tc>
        <w:tc>
          <w:tcPr>
            <w:tcW w:type="dxa" w:w="2100"/>
          </w:tcPr>
          <w:p>
            <w:pPr>
              <w:spacing w:after="40" w:before="40"/>
            </w:pPr>
            <w:r>
              <w:rPr>
                <w:rFonts w:ascii="Calibri" w:cs="Calibri" w:eastAsia="Calibri" w:hAnsi="Calibri"/>
                <w:sz w:val="20"/>
                <w:szCs w:val="20"/>
              </w:rPr>
              <w:t xml:space="preserve">£55 to £110 (1 to 2 hours)</w:t>
            </w:r>
          </w:p>
        </w:tc>
        <w:tc>
          <w:tcPr>
            <w:tcW w:type="dxa" w:w="1860"/>
          </w:tcPr>
          <w:p>
            <w:pPr>
              <w:spacing w:after="40" w:before="40"/>
            </w:pPr>
            <w:r>
              <w:rPr>
                <w:rFonts w:ascii="Calibri" w:cs="Calibri" w:eastAsia="Calibri" w:hAnsi="Calibri"/>
                <w:sz w:val="20"/>
                <w:szCs w:val="20"/>
              </w:rPr>
              <w:t xml:space="preserve">Honest launch burden per the panels</w:t>
            </w:r>
          </w:p>
        </w:tc>
      </w:tr>
      <w:tr>
        <w:tc>
          <w:tcPr>
            <w:tcW w:type="dxa" w:w="3300"/>
            <w:shd w:fill="F2F5FA" w:val="clear"/>
          </w:tcPr>
          <w:p>
            <w:pPr>
              <w:spacing w:after="40" w:before="40"/>
            </w:pPr>
            <w:r>
              <w:rPr>
                <w:rFonts w:ascii="Calibri" w:cs="Calibri" w:eastAsia="Calibri" w:hAnsi="Calibri"/>
                <w:sz w:val="20"/>
                <w:szCs w:val="20"/>
              </w:rPr>
              <w:t xml:space="preserve">Payment collection (GoCardless 1 per cent plus 20p, capped £4)</w:t>
            </w:r>
          </w:p>
        </w:tc>
        <w:tc>
          <w:tcPr>
            <w:tcW w:type="dxa" w:w="2100"/>
            <w:shd w:fill="F2F5FA" w:val="clear"/>
          </w:tcPr>
          <w:p>
            <w:pPr>
              <w:spacing w:after="40" w:before="40"/>
            </w:pPr>
            <w:r>
              <w:rPr>
                <w:rFonts w:ascii="Calibri" w:cs="Calibri" w:eastAsia="Calibri" w:hAnsi="Calibri"/>
                <w:sz w:val="20"/>
                <w:szCs w:val="20"/>
              </w:rPr>
              <w:t xml:space="preserve">£4</w:t>
            </w:r>
          </w:p>
        </w:tc>
        <w:tc>
          <w:tcPr>
            <w:tcW w:type="dxa" w:w="2100"/>
            <w:shd w:fill="F2F5FA" w:val="clear"/>
          </w:tcPr>
          <w:p>
            <w:pPr>
              <w:spacing w:after="40" w:before="40"/>
            </w:pPr>
            <w:r>
              <w:rPr>
                <w:rFonts w:ascii="Calibri" w:cs="Calibri" w:eastAsia="Calibri" w:hAnsi="Calibri"/>
                <w:sz w:val="20"/>
                <w:szCs w:val="20"/>
              </w:rPr>
              <w:t xml:space="preserve">£4</w:t>
            </w:r>
          </w:p>
        </w:tc>
        <w:tc>
          <w:tcPr>
            <w:tcW w:type="dxa" w:w="1860"/>
            <w:shd w:fill="F2F5FA" w:val="clear"/>
          </w:tcPr>
          <w:p>
            <w:pPr>
              <w:spacing w:after="40" w:before="40"/>
            </w:pPr>
            <w:r>
              <w:rPr>
                <w:rFonts w:ascii="Calibri" w:cs="Calibri" w:eastAsia="Calibri" w:hAnsi="Calibri"/>
                <w:sz w:val="20"/>
                <w:szCs w:val="20"/>
              </w:rPr>
              <w:t xml:space="preserve">Corrected per Panel 3</w:t>
            </w:r>
          </w:p>
        </w:tc>
      </w:tr>
      <w:tr>
        <w:tc>
          <w:tcPr>
            <w:tcW w:type="dxa" w:w="3300"/>
          </w:tcPr>
          <w:p>
            <w:pPr>
              <w:spacing w:after="40" w:before="40"/>
            </w:pPr>
            <w:r>
              <w:rPr>
                <w:rFonts w:ascii="Calibri" w:cs="Calibri" w:eastAsia="Calibri" w:hAnsi="Calibri"/>
                <w:sz w:val="20"/>
                <w:szCs w:val="20"/>
              </w:rPr>
              <w:t xml:space="preserve">Contribution</w:t>
            </w:r>
          </w:p>
        </w:tc>
        <w:tc>
          <w:tcPr>
            <w:tcW w:type="dxa" w:w="2100"/>
          </w:tcPr>
          <w:p>
            <w:pPr>
              <w:spacing w:after="40" w:before="40"/>
            </w:pPr>
            <w:r>
              <w:rPr>
                <w:rFonts w:ascii="Calibri" w:cs="Calibri" w:eastAsia="Calibri" w:hAnsi="Calibri"/>
                <w:sz w:val="20"/>
                <w:szCs w:val="20"/>
              </w:rPr>
              <w:t xml:space="preserve">£467 to £527 (72 to 81 per cent)</w:t>
            </w:r>
          </w:p>
        </w:tc>
        <w:tc>
          <w:tcPr>
            <w:tcW w:type="dxa" w:w="2100"/>
          </w:tcPr>
          <w:p>
            <w:pPr>
              <w:spacing w:after="40" w:before="40"/>
            </w:pPr>
            <w:r>
              <w:rPr>
                <w:rFonts w:ascii="Calibri" w:cs="Calibri" w:eastAsia="Calibri" w:hAnsi="Calibri"/>
                <w:sz w:val="20"/>
                <w:szCs w:val="20"/>
              </w:rPr>
              <w:t xml:space="preserve">£525 to £584 (81 to 90 per cent)</w:t>
            </w:r>
          </w:p>
        </w:tc>
        <w:tc>
          <w:tcPr>
            <w:tcW w:type="dxa" w:w="1860"/>
          </w:tcPr>
          <w:p>
            <w:pPr>
              <w:spacing w:after="40" w:before="40"/>
            </w:pPr>
            <w:r>
              <w:rPr>
                <w:rFonts w:ascii="Calibri" w:cs="Calibri" w:eastAsia="Calibri" w:hAnsi="Calibri"/>
                <w:sz w:val="20"/>
                <w:szCs w:val="20"/>
              </w:rPr>
              <w:t xml:space="preserve">Before fixed costs; onboarding hours absorbed by the implementation fee</w:t>
            </w:r>
          </w:p>
        </w:tc>
      </w:tr>
    </w:tbl>
    <w:p>
      <w:pPr>
        <w:spacing w:after="120" w:before="0"/>
      </w:pPr>
      <w:r>
        <w:rPr>
          <w:rFonts w:ascii="Calibri" w:cs="Calibri" w:eastAsia="Calibri" w:hAnsi="Calibri"/>
          <w:sz w:val="22"/>
          <w:szCs w:val="22"/>
        </w:rPr>
        <w:t xml:space="preserve"/>
      </w:r>
    </w:p>
    <w:p>
      <w:pPr>
        <w:pStyle w:val="Heading2"/>
        <w:spacing w:after="140" w:before="260"/>
      </w:pPr>
      <w:r>
        <w:rPr>
          <w:rFonts w:ascii="Calibri" w:cs="Calibri" w:eastAsia="Calibri" w:hAnsi="Calibri"/>
        </w:rPr>
        <w:t xml:space="preserve">8.2 Break-even (cash basis, transparent)</w:t>
      </w:r>
    </w:p>
    <w:p>
      <w:pPr>
        <w:spacing w:after="160" w:before="0"/>
      </w:pPr>
      <w:r>
        <w:rPr>
          <w:rFonts w:ascii="Calibri" w:cs="Calibri" w:eastAsia="Calibri" w:hAnsi="Calibri"/>
          <w:sz w:val="22"/>
          <w:szCs w:val="22"/>
        </w:rPr>
        <w:t xml:space="preserve">Fixed costs of £520 to £950 per month plus infrastructure are covered by 3 to 4 Close clients or about 5 mixed clients (estimate). This is cash break-even for the venture's outgoings; it does not remunerate the founder, whose roughly 530 build hours and ongoing time are the disclosed true investment, recovered through professional hours billed, subsequent salary, and terminal value.</w:t>
      </w:r>
    </w:p>
    <w:p>
      <w:pPr>
        <w:pStyle w:val="Heading2"/>
        <w:spacing w:after="140" w:before="260"/>
      </w:pPr>
      <w:r>
        <w:rPr>
          <w:rFonts w:ascii="Calibri" w:cs="Calibri" w:eastAsia="Calibri" w:hAnsi="Calibri"/>
        </w:rPr>
        <w:t xml:space="preserve">8.3 Year-one revenue scenario (arithmetic shown, per Panel 2's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260"/>
      </w:tblGrid>
      <w:tr>
        <w:trPr>
          <w:tblHeader/>
        </w:trPr>
        <w:tc>
          <w:tcPr>
            <w:tcW w:type="dxa" w:w="4700"/>
            <w:shd w:fill="1F3864" w:val="clear"/>
          </w:tcPr>
          <w:p>
            <w:pPr>
              <w:spacing w:after="40" w:before="40"/>
            </w:pPr>
            <w:r>
              <w:rPr>
                <w:rFonts w:ascii="Calibri" w:cs="Calibri" w:eastAsia="Calibri" w:hAnsi="Calibri"/>
                <w:b/>
                <w:bCs/>
                <w:color w:val="FFFFFF"/>
                <w:sz w:val="20"/>
                <w:szCs w:val="20"/>
              </w:rPr>
              <w:t xml:space="preserve">Component at month 12</w:t>
            </w:r>
          </w:p>
        </w:tc>
        <w:tc>
          <w:tcPr>
            <w:tcW w:type="dxa" w:w="1400"/>
            <w:shd w:fill="1F3864" w:val="clear"/>
          </w:tcPr>
          <w:p>
            <w:pPr>
              <w:spacing w:after="40" w:before="40"/>
            </w:pPr>
            <w:r>
              <w:rPr>
                <w:rFonts w:ascii="Calibri" w:cs="Calibri" w:eastAsia="Calibri" w:hAnsi="Calibri"/>
                <w:b/>
                <w:bCs/>
                <w:color w:val="FFFFFF"/>
                <w:sz w:val="20"/>
                <w:szCs w:val="20"/>
              </w:rPr>
              <w:t xml:space="preserve">Units</w:t>
            </w:r>
          </w:p>
        </w:tc>
        <w:tc>
          <w:tcPr>
            <w:tcW w:type="dxa" w:w="3260"/>
            <w:shd w:fill="1F3864" w:val="clear"/>
          </w:tcPr>
          <w:p>
            <w:pPr>
              <w:spacing w:after="40" w:before="40"/>
            </w:pPr>
            <w:r>
              <w:rPr>
                <w:rFonts w:ascii="Calibri" w:cs="Calibri" w:eastAsia="Calibri" w:hAnsi="Calibri"/>
                <w:b/>
                <w:bCs/>
                <w:color w:val="FFFFFF"/>
                <w:sz w:val="20"/>
                <w:szCs w:val="20"/>
              </w:rPr>
              <w:t xml:space="preserve">MRR</w:t>
            </w:r>
          </w:p>
        </w:tc>
      </w:tr>
      <w:tr>
        <w:tc>
          <w:tcPr>
            <w:tcW w:type="dxa" w:w="4700"/>
          </w:tcPr>
          <w:p>
            <w:pPr>
              <w:spacing w:after="40" w:before="40"/>
            </w:pPr>
            <w:r>
              <w:rPr>
                <w:rFonts w:ascii="Calibri" w:cs="Calibri" w:eastAsia="Calibri" w:hAnsi="Calibri"/>
                <w:sz w:val="20"/>
                <w:szCs w:val="20"/>
              </w:rPr>
              <w:t xml:space="preserve">Controls clients at £299</w:t>
            </w:r>
          </w:p>
        </w:tc>
        <w:tc>
          <w:tcPr>
            <w:tcW w:type="dxa" w:w="1400"/>
          </w:tcPr>
          <w:p>
            <w:pPr>
              <w:spacing w:after="40" w:before="40"/>
            </w:pPr>
            <w:r>
              <w:rPr>
                <w:rFonts w:ascii="Calibri" w:cs="Calibri" w:eastAsia="Calibri" w:hAnsi="Calibri"/>
                <w:sz w:val="20"/>
                <w:szCs w:val="20"/>
              </w:rPr>
              <w:t xml:space="preserve">8</w:t>
            </w:r>
          </w:p>
        </w:tc>
        <w:tc>
          <w:tcPr>
            <w:tcW w:type="dxa" w:w="3260"/>
          </w:tcPr>
          <w:p>
            <w:pPr>
              <w:spacing w:after="40" w:before="40"/>
            </w:pPr>
            <w:r>
              <w:rPr>
                <w:rFonts w:ascii="Calibri" w:cs="Calibri" w:eastAsia="Calibri" w:hAnsi="Calibri"/>
                <w:sz w:val="20"/>
                <w:szCs w:val="20"/>
              </w:rPr>
              <w:t xml:space="preserve">£2,392</w:t>
            </w:r>
          </w:p>
        </w:tc>
      </w:tr>
      <w:tr>
        <w:tc>
          <w:tcPr>
            <w:tcW w:type="dxa" w:w="4700"/>
            <w:shd w:fill="F2F5FA" w:val="clear"/>
          </w:tcPr>
          <w:p>
            <w:pPr>
              <w:spacing w:after="40" w:before="40"/>
            </w:pPr>
            <w:r>
              <w:rPr>
                <w:rFonts w:ascii="Calibri" w:cs="Calibri" w:eastAsia="Calibri" w:hAnsi="Calibri"/>
                <w:sz w:val="20"/>
                <w:szCs w:val="20"/>
              </w:rPr>
              <w:t xml:space="preserve">Close clients at £649</w:t>
            </w:r>
          </w:p>
        </w:tc>
        <w:tc>
          <w:tcPr>
            <w:tcW w:type="dxa" w:w="1400"/>
            <w:shd w:fill="F2F5FA" w:val="clear"/>
          </w:tcPr>
          <w:p>
            <w:pPr>
              <w:spacing w:after="40" w:before="40"/>
            </w:pPr>
            <w:r>
              <w:rPr>
                <w:rFonts w:ascii="Calibri" w:cs="Calibri" w:eastAsia="Calibri" w:hAnsi="Calibri"/>
                <w:sz w:val="20"/>
                <w:szCs w:val="20"/>
              </w:rPr>
              <w:t xml:space="preserve">5</w:t>
            </w:r>
          </w:p>
        </w:tc>
        <w:tc>
          <w:tcPr>
            <w:tcW w:type="dxa" w:w="3260"/>
            <w:shd w:fill="F2F5FA" w:val="clear"/>
          </w:tcPr>
          <w:p>
            <w:pPr>
              <w:spacing w:after="40" w:before="40"/>
            </w:pPr>
            <w:r>
              <w:rPr>
                <w:rFonts w:ascii="Calibri" w:cs="Calibri" w:eastAsia="Calibri" w:hAnsi="Calibri"/>
                <w:sz w:val="20"/>
                <w:szCs w:val="20"/>
              </w:rPr>
              <w:t xml:space="preserve">£3,245</w:t>
            </w:r>
          </w:p>
        </w:tc>
      </w:tr>
      <w:tr>
        <w:tc>
          <w:tcPr>
            <w:tcW w:type="dxa" w:w="4700"/>
          </w:tcPr>
          <w:p>
            <w:pPr>
              <w:spacing w:after="40" w:before="40"/>
            </w:pPr>
            <w:r>
              <w:rPr>
                <w:rFonts w:ascii="Calibri" w:cs="Calibri" w:eastAsia="Calibri" w:hAnsi="Calibri"/>
                <w:sz w:val="20"/>
                <w:szCs w:val="20"/>
              </w:rPr>
              <w:t xml:space="preserve">Firm channel (one firm, 10 clients, mixed £59/£119)</w:t>
            </w:r>
          </w:p>
        </w:tc>
        <w:tc>
          <w:tcPr>
            <w:tcW w:type="dxa" w:w="1400"/>
          </w:tcPr>
          <w:p>
            <w:pPr>
              <w:spacing w:after="40" w:before="40"/>
            </w:pPr>
            <w:r>
              <w:rPr>
                <w:rFonts w:ascii="Calibri" w:cs="Calibri" w:eastAsia="Calibri" w:hAnsi="Calibri"/>
                <w:sz w:val="20"/>
                <w:szCs w:val="20"/>
              </w:rPr>
              <w:t xml:space="preserve">10</w:t>
            </w:r>
          </w:p>
        </w:tc>
        <w:tc>
          <w:tcPr>
            <w:tcW w:type="dxa" w:w="3260"/>
          </w:tcPr>
          <w:p>
            <w:pPr>
              <w:spacing w:after="40" w:before="40"/>
            </w:pPr>
            <w:r>
              <w:rPr>
                <w:rFonts w:ascii="Calibri" w:cs="Calibri" w:eastAsia="Calibri" w:hAnsi="Calibri"/>
                <w:sz w:val="20"/>
                <w:szCs w:val="20"/>
              </w:rPr>
              <w:t xml:space="preserve">£890</w:t>
            </w:r>
          </w:p>
        </w:tc>
      </w:tr>
      <w:tr>
        <w:tc>
          <w:tcPr>
            <w:tcW w:type="dxa" w:w="4700"/>
            <w:shd w:fill="F2F5FA" w:val="clear"/>
          </w:tcPr>
          <w:p>
            <w:pPr>
              <w:spacing w:after="40" w:before="40"/>
            </w:pPr>
            <w:r>
              <w:rPr>
                <w:rFonts w:ascii="Calibri" w:cs="Calibri" w:eastAsia="Calibri" w:hAnsi="Calibri"/>
                <w:sz w:val="20"/>
                <w:szCs w:val="20"/>
              </w:rPr>
              <w:t xml:space="preserve">Software MRR</w:t>
            </w:r>
          </w:p>
        </w:tc>
        <w:tc>
          <w:tcPr>
            <w:tcW w:type="dxa" w:w="1400"/>
            <w:shd w:fill="F2F5FA" w:val="clear"/>
          </w:tcPr>
          <w:p>
            <w:pPr>
              <w:spacing w:after="40" w:before="40"/>
            </w:pPr>
            <w:r>
              <w:rPr>
                <w:rFonts w:ascii="Calibri" w:cs="Calibri" w:eastAsia="Calibri" w:hAnsi="Calibri"/>
                <w:sz w:val="20"/>
                <w:szCs w:val="20"/>
              </w:rPr>
              <w:t xml:space="preserve">-</w:t>
            </w:r>
          </w:p>
        </w:tc>
        <w:tc>
          <w:tcPr>
            <w:tcW w:type="dxa" w:w="3260"/>
            <w:shd w:fill="F2F5FA" w:val="clear"/>
          </w:tcPr>
          <w:p>
            <w:pPr>
              <w:spacing w:after="40" w:before="40"/>
            </w:pPr>
            <w:r>
              <w:rPr>
                <w:rFonts w:ascii="Calibri" w:cs="Calibri" w:eastAsia="Calibri" w:hAnsi="Calibri"/>
                <w:sz w:val="20"/>
                <w:szCs w:val="20"/>
              </w:rPr>
              <w:t xml:space="preserve">£6,527</w:t>
            </w:r>
          </w:p>
        </w:tc>
      </w:tr>
      <w:tr>
        <w:tc>
          <w:tcPr>
            <w:tcW w:type="dxa" w:w="4700"/>
          </w:tcPr>
          <w:p>
            <w:pPr>
              <w:spacing w:after="40" w:before="40"/>
            </w:pPr>
            <w:r>
              <w:rPr>
                <w:rFonts w:ascii="Calibri" w:cs="Calibri" w:eastAsia="Calibri" w:hAnsi="Calibri"/>
                <w:sz w:val="20"/>
                <w:szCs w:val="20"/>
              </w:rPr>
              <w:t xml:space="preserve">Professional hours (average 7 billed hours per month at £135 to £165)</w:t>
            </w:r>
          </w:p>
        </w:tc>
        <w:tc>
          <w:tcPr>
            <w:tcW w:type="dxa" w:w="1400"/>
          </w:tcPr>
          <w:p>
            <w:pPr>
              <w:spacing w:after="40" w:before="40"/>
            </w:pPr>
            <w:r>
              <w:rPr>
                <w:rFonts w:ascii="Calibri" w:cs="Calibri" w:eastAsia="Calibri" w:hAnsi="Calibri"/>
                <w:sz w:val="20"/>
                <w:szCs w:val="20"/>
              </w:rPr>
              <w:t xml:space="preserve">-</w:t>
            </w:r>
          </w:p>
        </w:tc>
        <w:tc>
          <w:tcPr>
            <w:tcW w:type="dxa" w:w="3260"/>
          </w:tcPr>
          <w:p>
            <w:pPr>
              <w:spacing w:after="40" w:before="40"/>
            </w:pPr>
            <w:r>
              <w:rPr>
                <w:rFonts w:ascii="Calibri" w:cs="Calibri" w:eastAsia="Calibri" w:hAnsi="Calibri"/>
                <w:sz w:val="20"/>
                <w:szCs w:val="20"/>
              </w:rPr>
              <w:t xml:space="preserve">£980 (variable)</w:t>
            </w:r>
          </w:p>
        </w:tc>
      </w:tr>
      <w:tr>
        <w:tc>
          <w:tcPr>
            <w:tcW w:type="dxa" w:w="4700"/>
            <w:shd w:fill="F2F5FA" w:val="clear"/>
          </w:tcPr>
          <w:p>
            <w:pPr>
              <w:spacing w:after="40" w:before="40"/>
            </w:pPr>
            <w:r>
              <w:rPr>
                <w:rFonts w:ascii="Calibri" w:cs="Calibri" w:eastAsia="Calibri" w:hAnsi="Calibri"/>
                <w:sz w:val="20"/>
                <w:szCs w:val="20"/>
              </w:rPr>
              <w:t xml:space="preserve">Implementation fees across the year (13 direct clients)</w:t>
            </w:r>
          </w:p>
        </w:tc>
        <w:tc>
          <w:tcPr>
            <w:tcW w:type="dxa" w:w="1400"/>
            <w:shd w:fill="F2F5FA" w:val="clear"/>
          </w:tcPr>
          <w:p>
            <w:pPr>
              <w:spacing w:after="40" w:before="40"/>
            </w:pPr>
            <w:r>
              <w:rPr>
                <w:rFonts w:ascii="Calibri" w:cs="Calibri" w:eastAsia="Calibri" w:hAnsi="Calibri"/>
                <w:sz w:val="20"/>
                <w:szCs w:val="20"/>
              </w:rPr>
              <w:t xml:space="preserve">-</w:t>
            </w:r>
          </w:p>
        </w:tc>
        <w:tc>
          <w:tcPr>
            <w:tcW w:type="dxa" w:w="3260"/>
            <w:shd w:fill="F2F5FA" w:val="clear"/>
          </w:tcPr>
          <w:p>
            <w:pPr>
              <w:spacing w:after="40" w:before="40"/>
            </w:pPr>
            <w:r>
              <w:rPr>
                <w:rFonts w:ascii="Calibri" w:cs="Calibri" w:eastAsia="Calibri" w:hAnsi="Calibri"/>
                <w:sz w:val="20"/>
                <w:szCs w:val="20"/>
              </w:rPr>
              <w:t xml:space="preserve">£9,750 to £19,500 one-off, spread</w:t>
            </w:r>
          </w:p>
        </w:tc>
      </w:tr>
    </w:tbl>
    <w:p>
      <w:pPr>
        <w:spacing w:after="12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Software ARR at month 12 on this scenario: about £78,000. The scenario assumes conversion of all three design partners, one new direct client per month from month 6, and one firm partner signed by month 9. Churn is assumed at one client loss in the year. The panels are invited to attack these conversion assumptions specifically.</w:t>
      </w:r>
    </w:p>
    <w:p>
      <w:pPr>
        <w:pStyle w:val="Heading1"/>
        <w:spacing w:after="180" w:before="320"/>
      </w:pPr>
      <w:r>
        <w:rPr>
          <w:rFonts w:ascii="Calibri" w:cs="Calibri" w:eastAsia="Calibri" w:hAnsi="Calibri"/>
        </w:rPr>
        <w:t xml:space="preserve">9. Go-to-Market (Sell Before the Build Completes)</w:t>
      </w:r>
    </w:p>
    <w:p>
      <w:pPr>
        <w:pStyle w:val="ListParagraph"/>
        <w:numPr>
          <w:ilvl w:val="0"/>
          <w:numId w:val="5"/>
        </w:numPr>
        <w:spacing w:after="80"/>
      </w:pPr>
      <w:r>
        <w:rPr>
          <w:rFonts w:ascii="Calibri" w:cs="Calibri" w:eastAsia="Calibri" w:hAnsi="Calibri"/>
          <w:sz w:val="22"/>
          <w:szCs w:val="22"/>
        </w:rPr>
        <w:t xml:space="preserve">Weeks 1 to 8, in parallel with the kernel build: ten structured discovery interviews with finance decision-makers in the care and services verticals, using a clickable prototype and a quantified ROI sheet.</w:t>
      </w:r>
    </w:p>
    <w:p>
      <w:pPr>
        <w:pStyle w:val="ListParagraph"/>
        <w:numPr>
          <w:ilvl w:val="0"/>
          <w:numId w:val="5"/>
        </w:numPr>
        <w:spacing w:after="80"/>
      </w:pPr>
      <w:r>
        <w:rPr>
          <w:rFonts w:ascii="Calibri" w:cs="Calibri" w:eastAsia="Calibri" w:hAnsi="Calibri"/>
          <w:sz w:val="22"/>
          <w:szCs w:val="22"/>
        </w:rPr>
        <w:t xml:space="preserve">Weeks 6 to 14: secure three paid design partners (deposit £250 to £500, credited against the implementation fee), each providing anonymised historical data and agreeing a supervised parallel-run month. This is the week-14 build gate: no deposits, no further build until sold.</w:t>
      </w:r>
    </w:p>
    <w:p>
      <w:pPr>
        <w:pStyle w:val="ListParagraph"/>
        <w:numPr>
          <w:ilvl w:val="0"/>
          <w:numId w:val="5"/>
        </w:numPr>
        <w:spacing w:after="80"/>
      </w:pPr>
      <w:r>
        <w:rPr>
          <w:rFonts w:ascii="Calibri" w:cs="Calibri" w:eastAsia="Calibri" w:hAnsi="Calibri"/>
          <w:sz w:val="22"/>
          <w:szCs w:val="22"/>
        </w:rPr>
        <w:t xml:space="preserve">Client zero throughout: the sponsor's own practice runs on the platform first; its real month-end is the first parallel run.</w:t>
      </w:r>
    </w:p>
    <w:p>
      <w:pPr>
        <w:pStyle w:val="ListParagraph"/>
        <w:numPr>
          <w:ilvl w:val="0"/>
          <w:numId w:val="5"/>
        </w:numPr>
        <w:spacing w:after="80"/>
      </w:pPr>
      <w:r>
        <w:rPr>
          <w:rFonts w:ascii="Calibri" w:cs="Calibri" w:eastAsia="Calibri" w:hAnsi="Calibri"/>
          <w:sz w:val="22"/>
          <w:szCs w:val="22"/>
        </w:rPr>
        <w:t xml:space="preserve">Concierge close: for the first three clients the founder delivers the month-end personally through the platform, automating only the steps that repeat. This converts founder hours into product knowledge and testimonial evidence.</w:t>
      </w:r>
    </w:p>
    <w:p>
      <w:pPr>
        <w:pStyle w:val="ListParagraph"/>
        <w:numPr>
          <w:ilvl w:val="0"/>
          <w:numId w:val="5"/>
        </w:numPr>
        <w:spacing w:after="80"/>
      </w:pPr>
      <w:r>
        <w:rPr>
          <w:rFonts w:ascii="Calibri" w:cs="Calibri" w:eastAsia="Calibri" w:hAnsi="Calibri"/>
          <w:sz w:val="22"/>
          <w:szCs w:val="22"/>
        </w:rPr>
        <w:t xml:space="preserve">Firm channel from month 7: five practice conversations seeking one signed design-partner firm with written channel-protection terms (firm owns the client, named-account protection, no direct marketing to the firm's protected list, firm sets retail price). The white-label console is built only after that firm specifies it.</w:t>
      </w:r>
    </w:p>
    <w:p>
      <w:pPr>
        <w:pStyle w:val="ListParagraph"/>
        <w:numPr>
          <w:ilvl w:val="0"/>
          <w:numId w:val="5"/>
        </w:numPr>
        <w:spacing w:after="80"/>
      </w:pPr>
      <w:r>
        <w:rPr>
          <w:rFonts w:ascii="Calibri" w:cs="Calibri" w:eastAsia="Calibri" w:hAnsi="Calibri"/>
          <w:sz w:val="22"/>
          <w:szCs w:val="22"/>
        </w:rPr>
        <w:t xml:space="preserve">No paid advertising in year one. Referral, vertical reputation and the sponsor's professional writing are the marketing engine, consistent with the exit route in Section 12.</w:t>
      </w:r>
    </w:p>
    <w:p>
      <w:pPr>
        <w:pStyle w:val="Heading1"/>
        <w:spacing w:after="180" w:before="320"/>
      </w:pPr>
      <w:r>
        <w:rPr>
          <w:rFonts w:ascii="Calibri" w:cs="Calibri" w:eastAsia="Calibri" w:hAnsi="Calibri"/>
        </w:rPr>
        <w:t xml:space="preserve">10. International Readiness at Zero Extra Cost</w:t>
      </w:r>
    </w:p>
    <w:p>
      <w:pPr>
        <w:spacing w:after="160" w:before="0"/>
      </w:pPr>
      <w:r>
        <w:rPr>
          <w:rFonts w:ascii="Calibri" w:cs="Calibri" w:eastAsia="Calibri" w:hAnsi="Calibri"/>
          <w:sz w:val="22"/>
          <w:szCs w:val="22"/>
        </w:rPr>
        <w:t xml:space="preserve">Adopted from all three panels: the core must be internationalisable now without building any foreign market now.</w:t>
      </w:r>
    </w:p>
    <w:p>
      <w:pPr>
        <w:pStyle w:val="ListParagraph"/>
        <w:numPr>
          <w:ilvl w:val="0"/>
          <w:numId w:val="3"/>
        </w:numPr>
        <w:spacing w:after="80"/>
      </w:pPr>
      <w:r>
        <w:rPr>
          <w:rFonts w:ascii="Calibri" w:cs="Calibri" w:eastAsia="Calibri" w:hAnsi="Calibri"/>
          <w:sz w:val="22"/>
          <w:szCs w:val="22"/>
        </w:rPr>
        <w:t xml:space="preserve">First-class data fields from day one: jurisdiction, legal entity, functional currency, transaction currency, tax registration, language, accounting basis, retention policy.</w:t>
      </w:r>
    </w:p>
    <w:p>
      <w:pPr>
        <w:pStyle w:val="ListParagraph"/>
        <w:numPr>
          <w:ilvl w:val="0"/>
          <w:numId w:val="3"/>
        </w:numPr>
        <w:spacing w:after="80"/>
      </w:pPr>
      <w:r>
        <w:rPr>
          <w:rFonts w:ascii="Calibri" w:cs="Calibri" w:eastAsia="Calibri" w:hAnsi="Calibri"/>
          <w:sz w:val="22"/>
          <w:szCs w:val="22"/>
        </w:rPr>
        <w:t xml:space="preserve">Tax as configuration: tax codes, rates, effective dates, recoverability and reporting mappings live in tables; the UK VAT pack is the first plugin, not the system's ontology.</w:t>
      </w:r>
    </w:p>
    <w:p>
      <w:pPr>
        <w:pStyle w:val="ListParagraph"/>
        <w:numPr>
          <w:ilvl w:val="0"/>
          <w:numId w:val="3"/>
        </w:numPr>
        <w:spacing w:after="80"/>
      </w:pPr>
      <w:r>
        <w:rPr>
          <w:rFonts w:ascii="Calibri" w:cs="Calibri" w:eastAsia="Calibri" w:hAnsi="Calibri"/>
          <w:sz w:val="22"/>
          <w:szCs w:val="22"/>
        </w:rPr>
        <w:t xml:space="preserve">Canonical chart taxonomy internally; the UK five-digit chart and any future national chart are mappings onto it.</w:t>
      </w:r>
    </w:p>
    <w:p>
      <w:pPr>
        <w:pStyle w:val="ListParagraph"/>
        <w:numPr>
          <w:ilvl w:val="0"/>
          <w:numId w:val="3"/>
        </w:numPr>
        <w:spacing w:after="80"/>
      </w:pPr>
      <w:r>
        <w:rPr>
          <w:rFonts w:ascii="Calibri" w:cs="Calibri" w:eastAsia="Calibri" w:hAnsi="Calibri"/>
          <w:sz w:val="22"/>
          <w:szCs w:val="22"/>
        </w:rPr>
        <w:t xml:space="preserve">Report layouts as templates driven by mappings; terminology configurable (VAT/GST, HMRC/local authority, Companies House/local registry).</w:t>
      </w:r>
    </w:p>
    <w:p>
      <w:pPr>
        <w:pStyle w:val="ListParagraph"/>
        <w:numPr>
          <w:ilvl w:val="0"/>
          <w:numId w:val="3"/>
        </w:numPr>
        <w:spacing w:after="80"/>
      </w:pPr>
      <w:r>
        <w:rPr>
          <w:rFonts w:ascii="Calibri" w:cs="Calibri" w:eastAsia="Calibri" w:hAnsi="Calibri"/>
          <w:sz w:val="22"/>
          <w:szCs w:val="22"/>
        </w:rPr>
        <w:t xml:space="preserve">HMRC, and later any tax authority, is an adapter at the edge of the system, never a dependency of the ledger core.</w:t>
      </w:r>
    </w:p>
    <w:p>
      <w:pPr>
        <w:spacing w:after="160" w:before="0"/>
      </w:pPr>
      <w:r>
        <w:rPr>
          <w:rFonts w:ascii="Calibri" w:cs="Calibri" w:eastAsia="Calibri" w:hAnsi="Calibri"/>
          <w:sz w:val="22"/>
          <w:szCs w:val="22"/>
        </w:rPr>
        <w:t xml:space="preserve">Target future markets, in order of fit once the UK model is proven: Ireland, Ghana and Francophone West Africa (where the sponsor's networks and French capability apply), then wider Commonwealth jurisdictions.</w:t>
      </w:r>
    </w:p>
    <w:p>
      <w:pPr>
        <w:pStyle w:val="Heading1"/>
        <w:spacing w:after="180" w:before="320"/>
      </w:pPr>
      <w:r>
        <w:rPr>
          <w:rFonts w:ascii="Calibri" w:cs="Calibri" w:eastAsia="Calibri" w:hAnsi="Calibri"/>
        </w:rPr>
        <w:t xml:space="preserve">11. Regulatory Position: Nothing Waits for Government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60"/>
      </w:tblGrid>
      <w:tr>
        <w:trPr>
          <w:tblHeader/>
        </w:trPr>
        <w:tc>
          <w:tcPr>
            <w:tcW w:type="dxa" w:w="3100"/>
            <w:shd w:fill="1F3864" w:val="clear"/>
          </w:tcPr>
          <w:p>
            <w:pPr>
              <w:spacing w:after="40" w:before="40"/>
            </w:pPr>
            <w:r>
              <w:rPr>
                <w:rFonts w:ascii="Calibri" w:cs="Calibri" w:eastAsia="Calibri" w:hAnsi="Calibri"/>
                <w:b/>
                <w:bCs/>
                <w:color w:val="FFFFFF"/>
                <w:sz w:val="20"/>
                <w:szCs w:val="20"/>
              </w:rPr>
              <w:t xml:space="preserve">Item</w:t>
            </w:r>
          </w:p>
        </w:tc>
        <w:tc>
          <w:tcPr>
            <w:tcW w:type="dxa" w:w="2400"/>
            <w:shd w:fill="1F3864" w:val="clear"/>
          </w:tcPr>
          <w:p>
            <w:pPr>
              <w:spacing w:after="40" w:before="40"/>
            </w:pPr>
            <w:r>
              <w:rPr>
                <w:rFonts w:ascii="Calibri" w:cs="Calibri" w:eastAsia="Calibri" w:hAnsi="Calibri"/>
                <w:b/>
                <w:bCs/>
                <w:color w:val="FFFFFF"/>
                <w:sz w:val="20"/>
                <w:szCs w:val="20"/>
              </w:rPr>
              <w:t xml:space="preserve">Approval needed to launch?</w:t>
            </w:r>
          </w:p>
        </w:tc>
        <w:tc>
          <w:tcPr>
            <w:tcW w:type="dxa" w:w="3860"/>
            <w:shd w:fill="1F3864" w:val="clear"/>
          </w:tcPr>
          <w:p>
            <w:pPr>
              <w:spacing w:after="40" w:before="40"/>
            </w:pPr>
            <w:r>
              <w:rPr>
                <w:rFonts w:ascii="Calibri" w:cs="Calibri" w:eastAsia="Calibri" w:hAnsi="Calibri"/>
                <w:b/>
                <w:bCs/>
                <w:color w:val="FFFFFF"/>
                <w:sz w:val="20"/>
                <w:szCs w:val="20"/>
              </w:rPr>
              <w:t xml:space="preserve">Position</w:t>
            </w:r>
          </w:p>
        </w:tc>
      </w:tr>
      <w:tr>
        <w:tc>
          <w:tcPr>
            <w:tcW w:type="dxa" w:w="3100"/>
          </w:tcPr>
          <w:p>
            <w:pPr>
              <w:spacing w:after="40" w:before="40"/>
            </w:pPr>
            <w:r>
              <w:rPr>
                <w:rFonts w:ascii="Calibri" w:cs="Calibri" w:eastAsia="Calibri" w:hAnsi="Calibri"/>
                <w:sz w:val="20"/>
                <w:szCs w:val="20"/>
              </w:rPr>
              <w:t xml:space="preserve">Bookkeeping software and reports (Phases 1 and 2)</w:t>
            </w:r>
          </w:p>
        </w:tc>
        <w:tc>
          <w:tcPr>
            <w:tcW w:type="dxa" w:w="2400"/>
          </w:tcPr>
          <w:p>
            <w:pPr>
              <w:spacing w:after="40" w:before="40"/>
            </w:pPr>
            <w:r>
              <w:rPr>
                <w:rFonts w:ascii="Calibri" w:cs="Calibri" w:eastAsia="Calibri" w:hAnsi="Calibri"/>
                <w:sz w:val="20"/>
                <w:szCs w:val="20"/>
              </w:rPr>
              <w:t xml:space="preserve">No</w:t>
            </w:r>
          </w:p>
        </w:tc>
        <w:tc>
          <w:tcPr>
            <w:tcW w:type="dxa" w:w="3860"/>
          </w:tcPr>
          <w:p>
            <w:pPr>
              <w:spacing w:after="40" w:before="40"/>
            </w:pPr>
            <w:r>
              <w:rPr>
                <w:rFonts w:ascii="Calibri" w:cs="Calibri" w:eastAsia="Calibri" w:hAnsi="Calibri"/>
                <w:sz w:val="20"/>
                <w:szCs w:val="20"/>
              </w:rPr>
              <w:t xml:space="preserve">No HMRC, Companies House or other government approval, recognition or code is required to operate</w:t>
            </w:r>
          </w:p>
        </w:tc>
      </w:tr>
      <w:tr>
        <w:tc>
          <w:tcPr>
            <w:tcW w:type="dxa" w:w="3100"/>
            <w:shd w:fill="F2F5FA" w:val="clear"/>
          </w:tcPr>
          <w:p>
            <w:pPr>
              <w:spacing w:after="40" w:before="40"/>
            </w:pPr>
            <w:r>
              <w:rPr>
                <w:rFonts w:ascii="Calibri" w:cs="Calibri" w:eastAsia="Calibri" w:hAnsi="Calibri"/>
                <w:sz w:val="20"/>
                <w:szCs w:val="20"/>
              </w:rPr>
              <w:t xml:space="preserve">ICO registration</w:t>
            </w:r>
          </w:p>
        </w:tc>
        <w:tc>
          <w:tcPr>
            <w:tcW w:type="dxa" w:w="2400"/>
            <w:shd w:fill="F2F5FA" w:val="clear"/>
          </w:tcPr>
          <w:p>
            <w:pPr>
              <w:spacing w:after="40" w:before="40"/>
            </w:pPr>
            <w:r>
              <w:rPr>
                <w:rFonts w:ascii="Calibri" w:cs="Calibri" w:eastAsia="Calibri" w:hAnsi="Calibri"/>
                <w:sz w:val="20"/>
                <w:szCs w:val="20"/>
              </w:rPr>
              <w:t xml:space="preserve">No approval; a fee</w:t>
            </w:r>
          </w:p>
        </w:tc>
        <w:tc>
          <w:tcPr>
            <w:tcW w:type="dxa" w:w="3860"/>
            <w:shd w:fill="F2F5FA" w:val="clear"/>
          </w:tcPr>
          <w:p>
            <w:pPr>
              <w:spacing w:after="40" w:before="40"/>
            </w:pPr>
            <w:r>
              <w:rPr>
                <w:rFonts w:ascii="Calibri" w:cs="Calibri" w:eastAsia="Calibri" w:hAnsi="Calibri"/>
                <w:sz w:val="20"/>
                <w:szCs w:val="20"/>
              </w:rPr>
              <w:t xml:space="preserve">Already completed by the sponsor; nothing outstanding</w:t>
            </w:r>
          </w:p>
        </w:tc>
      </w:tr>
      <w:tr>
        <w:tc>
          <w:tcPr>
            <w:tcW w:type="dxa" w:w="3100"/>
          </w:tcPr>
          <w:p>
            <w:pPr>
              <w:spacing w:after="40" w:before="40"/>
            </w:pPr>
            <w:r>
              <w:rPr>
                <w:rFonts w:ascii="Calibri" w:cs="Calibri" w:eastAsia="Calibri" w:hAnsi="Calibri"/>
                <w:sz w:val="20"/>
                <w:szCs w:val="20"/>
              </w:rPr>
              <w:t xml:space="preserve">AML supervision</w:t>
            </w:r>
          </w:p>
        </w:tc>
        <w:tc>
          <w:tcPr>
            <w:tcW w:type="dxa" w:w="2400"/>
          </w:tcPr>
          <w:p>
            <w:pPr>
              <w:spacing w:after="40" w:before="40"/>
            </w:pPr>
            <w:r>
              <w:rPr>
                <w:rFonts w:ascii="Calibri" w:cs="Calibri" w:eastAsia="Calibri" w:hAnsi="Calibri"/>
                <w:sz w:val="20"/>
                <w:szCs w:val="20"/>
              </w:rPr>
              <w:t xml:space="preserve">No government approval; professional confirmation</w:t>
            </w:r>
          </w:p>
        </w:tc>
        <w:tc>
          <w:tcPr>
            <w:tcW w:type="dxa" w:w="3860"/>
          </w:tcPr>
          <w:p>
            <w:pPr>
              <w:spacing w:after="40" w:before="40"/>
            </w:pPr>
            <w:r>
              <w:rPr>
                <w:rFonts w:ascii="Calibri" w:cs="Calibri" w:eastAsia="Calibri" w:hAnsi="Calibri"/>
                <w:sz w:val="20"/>
                <w:szCs w:val="20"/>
              </w:rPr>
              <w:t xml:space="preserve">Written confirmation of scope from ACCA or supervisor before the first paying client; obtained in parallel with the build, days not months, and does not gate the software</w:t>
            </w:r>
          </w:p>
        </w:tc>
      </w:tr>
      <w:tr>
        <w:tc>
          <w:tcPr>
            <w:tcW w:type="dxa" w:w="3100"/>
            <w:shd w:fill="F2F5FA" w:val="clear"/>
          </w:tcPr>
          <w:p>
            <w:pPr>
              <w:spacing w:after="40" w:before="40"/>
            </w:pPr>
            <w:r>
              <w:rPr>
                <w:rFonts w:ascii="Calibri" w:cs="Calibri" w:eastAsia="Calibri" w:hAnsi="Calibri"/>
                <w:sz w:val="20"/>
                <w:szCs w:val="20"/>
              </w:rPr>
              <w:t xml:space="preserve">Professional indemnity</w:t>
            </w:r>
          </w:p>
        </w:tc>
        <w:tc>
          <w:tcPr>
            <w:tcW w:type="dxa" w:w="2400"/>
            <w:shd w:fill="F2F5FA" w:val="clear"/>
          </w:tcPr>
          <w:p>
            <w:pPr>
              <w:spacing w:after="40" w:before="40"/>
            </w:pPr>
            <w:r>
              <w:rPr>
                <w:rFonts w:ascii="Calibri" w:cs="Calibri" w:eastAsia="Calibri" w:hAnsi="Calibri"/>
                <w:sz w:val="20"/>
                <w:szCs w:val="20"/>
              </w:rPr>
              <w:t xml:space="preserve">No; commercial insurance</w:t>
            </w:r>
          </w:p>
        </w:tc>
        <w:tc>
          <w:tcPr>
            <w:tcW w:type="dxa" w:w="3860"/>
            <w:shd w:fill="F2F5FA" w:val="clear"/>
          </w:tcPr>
          <w:p>
            <w:pPr>
              <w:spacing w:after="40" w:before="40"/>
            </w:pPr>
            <w:r>
              <w:rPr>
                <w:rFonts w:ascii="Calibri" w:cs="Calibri" w:eastAsia="Calibri" w:hAnsi="Calibri"/>
                <w:sz w:val="20"/>
                <w:szCs w:val="20"/>
              </w:rPr>
              <w:t xml:space="preserve">Non-binding broker quote during build; policy bound before first paying client</w:t>
            </w:r>
          </w:p>
        </w:tc>
      </w:tr>
      <w:tr>
        <w:tc>
          <w:tcPr>
            <w:tcW w:type="dxa" w:w="3100"/>
          </w:tcPr>
          <w:p>
            <w:pPr>
              <w:spacing w:after="40" w:before="40"/>
            </w:pPr>
            <w:r>
              <w:rPr>
                <w:rFonts w:ascii="Calibri" w:cs="Calibri" w:eastAsia="Calibri" w:hAnsi="Calibri"/>
                <w:sz w:val="20"/>
                <w:szCs w:val="20"/>
              </w:rPr>
              <w:t xml:space="preserve">HMRC agent authorisation</w:t>
            </w:r>
          </w:p>
        </w:tc>
        <w:tc>
          <w:tcPr>
            <w:tcW w:type="dxa" w:w="2400"/>
          </w:tcPr>
          <w:p>
            <w:pPr>
              <w:spacing w:after="40" w:before="40"/>
            </w:pPr>
            <w:r>
              <w:rPr>
                <w:rFonts w:ascii="Calibri" w:cs="Calibri" w:eastAsia="Calibri" w:hAnsi="Calibri"/>
                <w:sz w:val="20"/>
                <w:szCs w:val="20"/>
              </w:rPr>
              <w:t xml:space="preserve">Per client, when representing</w:t>
            </w:r>
          </w:p>
        </w:tc>
        <w:tc>
          <w:tcPr>
            <w:tcW w:type="dxa" w:w="3860"/>
          </w:tcPr>
          <w:p>
            <w:pPr>
              <w:spacing w:after="40" w:before="40"/>
            </w:pPr>
            <w:r>
              <w:rPr>
                <w:rFonts w:ascii="Calibri" w:cs="Calibri" w:eastAsia="Calibri" w:hAnsi="Calibri"/>
                <w:sz w:val="20"/>
                <w:szCs w:val="20"/>
              </w:rPr>
              <w:t xml:space="preserve">Standard 64-8 or digital handshake; routine, client-initiated, not a product approval</w:t>
            </w:r>
          </w:p>
        </w:tc>
      </w:tr>
      <w:tr>
        <w:tc>
          <w:tcPr>
            <w:tcW w:type="dxa" w:w="3100"/>
            <w:shd w:fill="F2F5FA" w:val="clear"/>
          </w:tcPr>
          <w:p>
            <w:pPr>
              <w:spacing w:after="40" w:before="40"/>
            </w:pPr>
            <w:r>
              <w:rPr>
                <w:rFonts w:ascii="Calibri" w:cs="Calibri" w:eastAsia="Calibri" w:hAnsi="Calibri"/>
                <w:sz w:val="20"/>
                <w:szCs w:val="20"/>
              </w:rPr>
              <w:t xml:space="preserve">MTD VAT filing recognition; Companies House filing</w:t>
            </w:r>
          </w:p>
        </w:tc>
        <w:tc>
          <w:tcPr>
            <w:tcW w:type="dxa" w:w="2400"/>
            <w:shd w:fill="F2F5FA" w:val="clear"/>
          </w:tcPr>
          <w:p>
            <w:pPr>
              <w:spacing w:after="40" w:before="40"/>
            </w:pPr>
            <w:r>
              <w:rPr>
                <w:rFonts w:ascii="Calibri" w:cs="Calibri" w:eastAsia="Calibri" w:hAnsi="Calibri"/>
                <w:sz w:val="20"/>
                <w:szCs w:val="20"/>
              </w:rPr>
              <w:t xml:space="preserve">Yes, and therefore deferred</w:t>
            </w:r>
          </w:p>
        </w:tc>
        <w:tc>
          <w:tcPr>
            <w:tcW w:type="dxa" w:w="3860"/>
            <w:shd w:fill="F2F5FA" w:val="clear"/>
          </w:tcPr>
          <w:p>
            <w:pPr>
              <w:spacing w:after="40" w:before="40"/>
            </w:pPr>
            <w:r>
              <w:rPr>
                <w:rFonts w:ascii="Calibri" w:cs="Calibri" w:eastAsia="Calibri" w:hAnsi="Calibri"/>
                <w:sz w:val="20"/>
                <w:szCs w:val="20"/>
              </w:rPr>
              <w:t xml:space="preserve">Phase 3 only; until then all statutory filings are made by the client's accountant through existing channels</w:t>
            </w:r>
          </w:p>
        </w:tc>
      </w:tr>
      <w:tr>
        <w:tc>
          <w:tcPr>
            <w:tcW w:type="dxa" w:w="3100"/>
          </w:tcPr>
          <w:p>
            <w:pPr>
              <w:spacing w:after="40" w:before="40"/>
            </w:pPr>
            <w:r>
              <w:rPr>
                <w:rFonts w:ascii="Calibri" w:cs="Calibri" w:eastAsia="Calibri" w:hAnsi="Calibri"/>
                <w:sz w:val="20"/>
                <w:szCs w:val="20"/>
              </w:rPr>
              <w:t xml:space="preserve">Open Banking</w:t>
            </w:r>
          </w:p>
        </w:tc>
        <w:tc>
          <w:tcPr>
            <w:tcW w:type="dxa" w:w="2400"/>
          </w:tcPr>
          <w:p>
            <w:pPr>
              <w:spacing w:after="40" w:before="40"/>
            </w:pPr>
            <w:r>
              <w:rPr>
                <w:rFonts w:ascii="Calibri" w:cs="Calibri" w:eastAsia="Calibri" w:hAnsi="Calibri"/>
                <w:sz w:val="20"/>
                <w:szCs w:val="20"/>
              </w:rPr>
              <w:t xml:space="preserve">Not by LedgerHouse</w:t>
            </w:r>
          </w:p>
        </w:tc>
        <w:tc>
          <w:tcPr>
            <w:tcW w:type="dxa" w:w="3860"/>
          </w:tcPr>
          <w:p>
            <w:pPr>
              <w:spacing w:after="40" w:before="40"/>
            </w:pPr>
            <w:r>
              <w:rPr>
                <w:rFonts w:ascii="Calibri" w:cs="Calibri" w:eastAsia="Calibri" w:hAnsi="Calibri"/>
                <w:sz w:val="20"/>
                <w:szCs w:val="20"/>
              </w:rPr>
              <w:t xml:space="preserve">The FCA-authorised aggregator holds the permission; LedgerHouse onboards commercially in months 7 to 9</w:t>
            </w:r>
          </w:p>
        </w:tc>
      </w:tr>
    </w:tbl>
    <w:p>
      <w:pPr>
        <w:pStyle w:val="Heading1"/>
        <w:spacing w:after="180" w:before="320"/>
      </w:pPr>
      <w:r>
        <w:rPr>
          <w:rFonts w:ascii="Calibri" w:cs="Calibri" w:eastAsia="Calibri" w:hAnsi="Calibri"/>
        </w:rPr>
        <w:t xml:space="preserve">12. Exit Value Above £100,000 (Conservative Logic)</w:t>
      </w:r>
    </w:p>
    <w:p>
      <w:pPr>
        <w:spacing w:after="160" w:before="0"/>
      </w:pPr>
      <w:r>
        <w:rPr>
          <w:rFonts w:ascii="Calibri" w:cs="Calibri" w:eastAsia="Calibri" w:hAnsi="Calibri"/>
          <w:sz w:val="22"/>
          <w:szCs w:val="22"/>
        </w:rPr>
        <w:t xml:space="preserve">Adopting the conservative multiples of Panels 2 and 3: small, founder-built SaaS trades at roughly 2 to 3 times ARR or 3 to 4 times owner profit, not headline venture multiples. Code alone will not fetch £100,000; transferable recurring revenue will.</w:t>
      </w:r>
    </w:p>
    <w:p>
      <w:pPr>
        <w:pStyle w:val="ListParagraph"/>
        <w:numPr>
          <w:ilvl w:val="0"/>
          <w:numId w:val="3"/>
        </w:numPr>
        <w:spacing w:after="80"/>
      </w:pPr>
      <w:r>
        <w:rPr>
          <w:rFonts w:ascii="Calibri" w:cs="Calibri" w:eastAsia="Calibri" w:hAnsi="Calibri"/>
          <w:sz w:val="22"/>
          <w:szCs w:val="22"/>
        </w:rPr>
        <w:t xml:space="preserve">The month-12 scenario (£78,000 software ARR, Section 8.3) supports a £120,000 to £180,000 valuation at 2 to 2.5 times, subject to retention evidence.</w:t>
      </w:r>
    </w:p>
    <w:p>
      <w:pPr>
        <w:pStyle w:val="ListParagraph"/>
        <w:numPr>
          <w:ilvl w:val="0"/>
          <w:numId w:val="3"/>
        </w:numPr>
        <w:spacing w:after="80"/>
      </w:pPr>
      <w:r>
        <w:rPr>
          <w:rFonts w:ascii="Calibri" w:cs="Calibri" w:eastAsia="Calibri" w:hAnsi="Calibri"/>
          <w:sz w:val="22"/>
          <w:szCs w:val="22"/>
        </w:rPr>
        <w:t xml:space="preserve">Minimum buyer evidence, assembled from month one as a discipline: 12 or more months of billing history, MRR by client and channel, churn and cohort data, assignable contracts, clean IP assignment covering AI-assisted development, security and backup documentation, a test suite and deployment runbook proving the founder is not the product, and PI history.</w:t>
      </w:r>
    </w:p>
    <w:p>
      <w:pPr>
        <w:pStyle w:val="ListParagraph"/>
        <w:numPr>
          <w:ilvl w:val="0"/>
          <w:numId w:val="3"/>
        </w:numPr>
        <w:spacing w:after="80"/>
      </w:pPr>
      <w:r>
        <w:rPr>
          <w:rFonts w:ascii="Calibri" w:cs="Calibri" w:eastAsia="Calibri" w:hAnsi="Calibri"/>
          <w:sz w:val="22"/>
          <w:szCs w:val="22"/>
        </w:rPr>
        <w:t xml:space="preserve">Fastest low-cost route, consistent with no complicated advertising: the firm channel and vertical referrals. The likely buyer is an accountancy consolidator, regional practice or vertical SaaS acquirer, reached through professional networks, not advertising.</w:t>
      </w:r>
    </w:p>
    <w:p>
      <w:pPr>
        <w:pStyle w:val="Heading1"/>
        <w:spacing w:after="180" w:before="320"/>
      </w:pPr>
      <w:r>
        <w:rPr>
          <w:rFonts w:ascii="Calibri" w:cs="Calibri" w:eastAsia="Calibri" w:hAnsi="Calibri"/>
        </w:rPr>
        <w:t xml:space="preserve">13. Risk Register (Revised)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160"/>
      </w:tblGrid>
      <w:tr>
        <w:trPr>
          <w:tblHeader/>
        </w:trPr>
        <w:tc>
          <w:tcPr>
            <w:tcW w:type="dxa" w:w="3200"/>
            <w:shd w:fill="1F3864" w:val="clear"/>
          </w:tcPr>
          <w:p>
            <w:pPr>
              <w:spacing w:after="40" w:before="40"/>
            </w:pPr>
            <w:r>
              <w:rPr>
                <w:rFonts w:ascii="Calibri" w:cs="Calibri" w:eastAsia="Calibri" w:hAnsi="Calibri"/>
                <w:b/>
                <w:bCs/>
                <w:color w:val="FFFFFF"/>
                <w:sz w:val="20"/>
                <w:szCs w:val="20"/>
              </w:rPr>
              <w:t xml:space="preserve">Risk</w:t>
            </w:r>
          </w:p>
        </w:tc>
        <w:tc>
          <w:tcPr>
            <w:tcW w:type="dxa" w:w="1200"/>
            <w:shd w:fill="1F3864" w:val="clear"/>
          </w:tcPr>
          <w:p>
            <w:pPr>
              <w:spacing w:after="40" w:before="40"/>
            </w:pPr>
            <w:r>
              <w:rPr>
                <w:rFonts w:ascii="Calibri" w:cs="Calibri" w:eastAsia="Calibri" w:hAnsi="Calibri"/>
                <w:b/>
                <w:bCs/>
                <w:color w:val="FFFFFF"/>
                <w:sz w:val="20"/>
                <w:szCs w:val="20"/>
              </w:rPr>
              <w:t xml:space="preserve">Grade</w:t>
            </w:r>
          </w:p>
        </w:tc>
        <w:tc>
          <w:tcPr>
            <w:tcW w:type="dxa" w:w="5160"/>
            <w:shd w:fill="1F3864" w:val="clear"/>
          </w:tcPr>
          <w:p>
            <w:pPr>
              <w:spacing w:after="40" w:before="40"/>
            </w:pPr>
            <w:r>
              <w:rPr>
                <w:rFonts w:ascii="Calibri" w:cs="Calibri" w:eastAsia="Calibri" w:hAnsi="Calibri"/>
                <w:b/>
                <w:bCs/>
                <w:color w:val="FFFFFF"/>
                <w:sz w:val="20"/>
                <w:szCs w:val="20"/>
              </w:rPr>
              <w:t xml:space="preserve">Control</w:t>
            </w:r>
          </w:p>
        </w:tc>
      </w:tr>
      <w:tr>
        <w:tc>
          <w:tcPr>
            <w:tcW w:type="dxa" w:w="3200"/>
          </w:tcPr>
          <w:p>
            <w:pPr>
              <w:spacing w:after="40" w:before="40"/>
            </w:pPr>
            <w:r>
              <w:rPr>
                <w:rFonts w:ascii="Calibri" w:cs="Calibri" w:eastAsia="Calibri" w:hAnsi="Calibri"/>
                <w:sz w:val="20"/>
                <w:szCs w:val="20"/>
              </w:rPr>
              <w:t xml:space="preserve">Wrong accounts or VAT records issued</w:t>
            </w:r>
          </w:p>
        </w:tc>
        <w:tc>
          <w:tcPr>
            <w:tcW w:type="dxa" w:w="1200"/>
          </w:tcPr>
          <w:p>
            <w:pPr>
              <w:spacing w:after="40" w:before="40"/>
            </w:pPr>
            <w:r>
              <w:rPr>
                <w:rFonts w:ascii="Calibri" w:cs="Calibri" w:eastAsia="Calibri" w:hAnsi="Calibri"/>
                <w:sz w:val="20"/>
                <w:szCs w:val="20"/>
              </w:rPr>
              <w:t xml:space="preserve">Top tier</w:t>
            </w:r>
          </w:p>
        </w:tc>
        <w:tc>
          <w:tcPr>
            <w:tcW w:type="dxa" w:w="5160"/>
          </w:tcPr>
          <w:p>
            <w:pPr>
              <w:spacing w:after="40" w:before="40"/>
            </w:pPr>
            <w:r>
              <w:rPr>
                <w:rFonts w:ascii="Calibri" w:cs="Calibri" w:eastAsia="Calibri" w:hAnsi="Calibri"/>
                <w:sz w:val="20"/>
                <w:szCs w:val="20"/>
              </w:rPr>
              <w:t xml:space="preserve">Database-enforced balancing, golden-ledger regression suite, never-silently-post rules, named accountant sign-off before any pack is issued, correction-journal workflow, PI insurance</w:t>
            </w:r>
          </w:p>
        </w:tc>
      </w:tr>
      <w:tr>
        <w:tc>
          <w:tcPr>
            <w:tcW w:type="dxa" w:w="3200"/>
            <w:shd w:fill="F2F5FA" w:val="clear"/>
          </w:tcPr>
          <w:p>
            <w:pPr>
              <w:spacing w:after="40" w:before="40"/>
            </w:pPr>
            <w:r>
              <w:rPr>
                <w:rFonts w:ascii="Calibri" w:cs="Calibri" w:eastAsia="Calibri" w:hAnsi="Calibri"/>
                <w:sz w:val="20"/>
                <w:szCs w:val="20"/>
              </w:rPr>
              <w:t xml:space="preserve">Data breach</w:t>
            </w:r>
          </w:p>
        </w:tc>
        <w:tc>
          <w:tcPr>
            <w:tcW w:type="dxa" w:w="1200"/>
            <w:shd w:fill="F2F5FA" w:val="clear"/>
          </w:tcPr>
          <w:p>
            <w:pPr>
              <w:spacing w:after="40" w:before="40"/>
            </w:pPr>
            <w:r>
              <w:rPr>
                <w:rFonts w:ascii="Calibri" w:cs="Calibri" w:eastAsia="Calibri" w:hAnsi="Calibri"/>
                <w:sz w:val="20"/>
                <w:szCs w:val="20"/>
              </w:rPr>
              <w:t xml:space="preserve">Top tier</w:t>
            </w:r>
          </w:p>
        </w:tc>
        <w:tc>
          <w:tcPr>
            <w:tcW w:type="dxa" w:w="5160"/>
            <w:shd w:fill="F2F5FA" w:val="clear"/>
          </w:tcPr>
          <w:p>
            <w:pPr>
              <w:spacing w:after="40" w:before="40"/>
            </w:pPr>
            <w:r>
              <w:rPr>
                <w:rFonts w:ascii="Calibri" w:cs="Calibri" w:eastAsia="Calibri" w:hAnsi="Calibri"/>
                <w:sz w:val="20"/>
                <w:szCs w:val="20"/>
              </w:rPr>
              <w:t xml:space="preserve">Row-level tenant isolation, MFA, encryption, access logging, restore drills, Cyber Essentials, incident-response plan, DPA and sub-processor register</w:t>
            </w:r>
          </w:p>
        </w:tc>
      </w:tr>
      <w:tr>
        <w:tc>
          <w:tcPr>
            <w:tcW w:type="dxa" w:w="3200"/>
          </w:tcPr>
          <w:p>
            <w:pPr>
              <w:spacing w:after="40" w:before="40"/>
            </w:pPr>
            <w:r>
              <w:rPr>
                <w:rFonts w:ascii="Calibri" w:cs="Calibri" w:eastAsia="Calibri" w:hAnsi="Calibri"/>
                <w:sz w:val="20"/>
                <w:szCs w:val="20"/>
              </w:rPr>
              <w:t xml:space="preserve">Founder overload (build, sell, review at 4 hours per day)</w:t>
            </w:r>
          </w:p>
        </w:tc>
        <w:tc>
          <w:tcPr>
            <w:tcW w:type="dxa" w:w="1200"/>
          </w:tcPr>
          <w:p>
            <w:pPr>
              <w:spacing w:after="40" w:before="40"/>
            </w:pPr>
            <w:r>
              <w:rPr>
                <w:rFonts w:ascii="Calibri" w:cs="Calibri" w:eastAsia="Calibri" w:hAnsi="Calibri"/>
                <w:sz w:val="20"/>
                <w:szCs w:val="20"/>
              </w:rPr>
              <w:t xml:space="preserve">High</w:t>
            </w:r>
          </w:p>
        </w:tc>
        <w:tc>
          <w:tcPr>
            <w:tcW w:type="dxa" w:w="5160"/>
          </w:tcPr>
          <w:p>
            <w:pPr>
              <w:spacing w:after="40" w:before="40"/>
            </w:pPr>
            <w:r>
              <w:rPr>
                <w:rFonts w:ascii="Calibri" w:cs="Calibri" w:eastAsia="Calibri" w:hAnsi="Calibri"/>
                <w:sz w:val="20"/>
                <w:szCs w:val="20"/>
              </w:rPr>
              <w:t xml:space="preserve">Gated scope; week-14 sales gate forces sell-before-build; concierge model converts delivery into learning; first contract reviewer hired from hours revenue</w:t>
            </w:r>
          </w:p>
        </w:tc>
      </w:tr>
      <w:tr>
        <w:tc>
          <w:tcPr>
            <w:tcW w:type="dxa" w:w="3200"/>
            <w:shd w:fill="F2F5FA" w:val="clear"/>
          </w:tcPr>
          <w:p>
            <w:pPr>
              <w:spacing w:after="40" w:before="40"/>
            </w:pPr>
            <w:r>
              <w:rPr>
                <w:rFonts w:ascii="Calibri" w:cs="Calibri" w:eastAsia="Calibri" w:hAnsi="Calibri"/>
                <w:sz w:val="20"/>
                <w:szCs w:val="20"/>
              </w:rPr>
              <w:t xml:space="preserve">Clients will not switch from Xero-plus-firm</w:t>
            </w:r>
          </w:p>
        </w:tc>
        <w:tc>
          <w:tcPr>
            <w:tcW w:type="dxa" w:w="1200"/>
            <w:shd w:fill="F2F5FA" w:val="clear"/>
          </w:tcPr>
          <w:p>
            <w:pPr>
              <w:spacing w:after="40" w:before="40"/>
            </w:pPr>
            <w:r>
              <w:rPr>
                <w:rFonts w:ascii="Calibri" w:cs="Calibri" w:eastAsia="Calibri" w:hAnsi="Calibri"/>
                <w:sz w:val="20"/>
                <w:szCs w:val="20"/>
              </w:rPr>
              <w:t xml:space="preserve">High</w:t>
            </w:r>
          </w:p>
        </w:tc>
        <w:tc>
          <w:tcPr>
            <w:tcW w:type="dxa" w:w="5160"/>
            <w:shd w:fill="F2F5FA" w:val="clear"/>
          </w:tcPr>
          <w:p>
            <w:pPr>
              <w:spacing w:after="40" w:before="40"/>
            </w:pPr>
            <w:r>
              <w:rPr>
                <w:rFonts w:ascii="Calibri" w:cs="Calibri" w:eastAsia="Calibri" w:hAnsi="Calibri"/>
                <w:sz w:val="20"/>
                <w:szCs w:val="20"/>
              </w:rPr>
              <w:t xml:space="preserve">Parallel-run trust mechanism, implementation fee filters the uncommitted, beachhead vertical where the sponsor is already trusted</w:t>
            </w:r>
          </w:p>
        </w:tc>
      </w:tr>
      <w:tr>
        <w:tc>
          <w:tcPr>
            <w:tcW w:type="dxa" w:w="3200"/>
          </w:tcPr>
          <w:p>
            <w:pPr>
              <w:spacing w:after="40" w:before="40"/>
            </w:pPr>
            <w:r>
              <w:rPr>
                <w:rFonts w:ascii="Calibri" w:cs="Calibri" w:eastAsia="Calibri" w:hAnsi="Calibri"/>
                <w:sz w:val="20"/>
                <w:szCs w:val="20"/>
              </w:rPr>
              <w:t xml:space="preserve">Incumbent AI features close the gap</w:t>
            </w:r>
          </w:p>
        </w:tc>
        <w:tc>
          <w:tcPr>
            <w:tcW w:type="dxa" w:w="1200"/>
          </w:tcPr>
          <w:p>
            <w:pPr>
              <w:spacing w:after="40" w:before="40"/>
            </w:pPr>
            <w:r>
              <w:rPr>
                <w:rFonts w:ascii="Calibri" w:cs="Calibri" w:eastAsia="Calibri" w:hAnsi="Calibri"/>
                <w:sz w:val="20"/>
                <w:szCs w:val="20"/>
              </w:rPr>
              <w:t xml:space="preserve">High</w:t>
            </w:r>
          </w:p>
        </w:tc>
        <w:tc>
          <w:tcPr>
            <w:tcW w:type="dxa" w:w="5160"/>
          </w:tcPr>
          <w:p>
            <w:pPr>
              <w:spacing w:after="40" w:before="40"/>
            </w:pPr>
            <w:r>
              <w:rPr>
                <w:rFonts w:ascii="Calibri" w:cs="Calibri" w:eastAsia="Calibri" w:hAnsi="Calibri"/>
                <w:sz w:val="20"/>
                <w:szCs w:val="20"/>
              </w:rPr>
              <w:t xml:space="preserve">Compete on controlled whole-company workflow, close guarantee and human representation, which platform vendors are structurally unlikely to bundle; quarterly feature-gap log</w:t>
            </w:r>
          </w:p>
        </w:tc>
      </w:tr>
      <w:tr>
        <w:tc>
          <w:tcPr>
            <w:tcW w:type="dxa" w:w="3200"/>
            <w:shd w:fill="F2F5FA" w:val="clear"/>
          </w:tcPr>
          <w:p>
            <w:pPr>
              <w:spacing w:after="40" w:before="40"/>
            </w:pPr>
            <w:r>
              <w:rPr>
                <w:rFonts w:ascii="Calibri" w:cs="Calibri" w:eastAsia="Calibri" w:hAnsi="Calibri"/>
                <w:sz w:val="20"/>
                <w:szCs w:val="20"/>
              </w:rPr>
              <w:t xml:space="preserve">Automation rate below 80 to 90 per cent assumption</w:t>
            </w:r>
          </w:p>
        </w:tc>
        <w:tc>
          <w:tcPr>
            <w:tcW w:type="dxa" w:w="1200"/>
            <w:shd w:fill="F2F5FA" w:val="clear"/>
          </w:tcPr>
          <w:p>
            <w:pPr>
              <w:spacing w:after="40" w:before="40"/>
            </w:pPr>
            <w:r>
              <w:rPr>
                <w:rFonts w:ascii="Calibri" w:cs="Calibri" w:eastAsia="Calibri" w:hAnsi="Calibri"/>
                <w:sz w:val="20"/>
                <w:szCs w:val="20"/>
              </w:rPr>
              <w:t xml:space="preserve">Medium</w:t>
            </w:r>
          </w:p>
        </w:tc>
        <w:tc>
          <w:tcPr>
            <w:tcW w:type="dxa" w:w="5160"/>
            <w:shd w:fill="F2F5FA" w:val="clear"/>
          </w:tcPr>
          <w:p>
            <w:pPr>
              <w:spacing w:after="40" w:before="40"/>
            </w:pPr>
            <w:r>
              <w:rPr>
                <w:rFonts w:ascii="Calibri" w:cs="Calibri" w:eastAsia="Calibri" w:hAnsi="Calibri"/>
                <w:sz w:val="20"/>
                <w:szCs w:val="20"/>
              </w:rPr>
              <w:t xml:space="preserve">Treated as a hypothesis: priced and staffed on a conservative 40 to 60 per cent low-touch rate until three real ledgers prove otherwise (Assumption 1 test)</w:t>
            </w:r>
          </w:p>
        </w:tc>
      </w:tr>
      <w:tr>
        <w:tc>
          <w:tcPr>
            <w:tcW w:type="dxa" w:w="3200"/>
          </w:tcPr>
          <w:p>
            <w:pPr>
              <w:spacing w:after="40" w:before="40"/>
            </w:pPr>
            <w:r>
              <w:rPr>
                <w:rFonts w:ascii="Calibri" w:cs="Calibri" w:eastAsia="Calibri" w:hAnsi="Calibri"/>
                <w:sz w:val="20"/>
                <w:szCs w:val="20"/>
              </w:rPr>
              <w:t xml:space="preserve">Multi-agent build drift (relay of AI developers producing inconsistent or unsafe code)</w:t>
            </w:r>
          </w:p>
        </w:tc>
        <w:tc>
          <w:tcPr>
            <w:tcW w:type="dxa" w:w="1200"/>
          </w:tcPr>
          <w:p>
            <w:pPr>
              <w:spacing w:after="40" w:before="40"/>
            </w:pPr>
            <w:r>
              <w:rPr>
                <w:rFonts w:ascii="Calibri" w:cs="Calibri" w:eastAsia="Calibri" w:hAnsi="Calibri"/>
                <w:sz w:val="20"/>
                <w:szCs w:val="20"/>
              </w:rPr>
              <w:t xml:space="preserve">Medium</w:t>
            </w:r>
          </w:p>
        </w:tc>
        <w:tc>
          <w:tcPr>
            <w:tcW w:type="dxa" w:w="5160"/>
          </w:tcPr>
          <w:p>
            <w:pPr>
              <w:spacing w:after="40" w:before="40"/>
            </w:pPr>
            <w:r>
              <w:rPr>
                <w:rFonts w:ascii="Calibri" w:cs="Calibri" w:eastAsia="Calibri" w:hAnsi="Calibri"/>
                <w:sz w:val="20"/>
                <w:szCs w:val="20"/>
              </w:rPr>
              <w:t xml:space="preserve">Control-file regime in Section 6.3: mandatory state files, append-only logs, protected main branch, tests as arbiter, forbidden-actions list</w:t>
            </w:r>
          </w:p>
        </w:tc>
      </w:tr>
      <w:tr>
        <w:tc>
          <w:tcPr>
            <w:tcW w:type="dxa" w:w="3200"/>
            <w:shd w:fill="F2F5FA" w:val="clear"/>
          </w:tcPr>
          <w:p>
            <w:pPr>
              <w:spacing w:after="40" w:before="40"/>
            </w:pPr>
            <w:r>
              <w:rPr>
                <w:rFonts w:ascii="Calibri" w:cs="Calibri" w:eastAsia="Calibri" w:hAnsi="Calibri"/>
                <w:sz w:val="20"/>
                <w:szCs w:val="20"/>
              </w:rPr>
              <w:t xml:space="preserve">Channel conflict</w:t>
            </w:r>
          </w:p>
        </w:tc>
        <w:tc>
          <w:tcPr>
            <w:tcW w:type="dxa" w:w="1200"/>
            <w:shd w:fill="F2F5FA" w:val="clear"/>
          </w:tcPr>
          <w:p>
            <w:pPr>
              <w:spacing w:after="40" w:before="40"/>
            </w:pPr>
            <w:r>
              <w:rPr>
                <w:rFonts w:ascii="Calibri" w:cs="Calibri" w:eastAsia="Calibri" w:hAnsi="Calibri"/>
                <w:sz w:val="20"/>
                <w:szCs w:val="20"/>
              </w:rPr>
              <w:t xml:space="preserve">Medium</w:t>
            </w:r>
          </w:p>
        </w:tc>
        <w:tc>
          <w:tcPr>
            <w:tcW w:type="dxa" w:w="5160"/>
            <w:shd w:fill="F2F5FA" w:val="clear"/>
          </w:tcPr>
          <w:p>
            <w:pPr>
              <w:spacing w:after="40" w:before="40"/>
            </w:pPr>
            <w:r>
              <w:rPr>
                <w:rFonts w:ascii="Calibri" w:cs="Calibri" w:eastAsia="Calibri" w:hAnsi="Calibri"/>
                <w:sz w:val="20"/>
                <w:szCs w:val="20"/>
              </w:rPr>
              <w:t xml:space="preserve">Written protection terms from the first firm agreement</w:t>
            </w:r>
          </w:p>
        </w:tc>
      </w:tr>
      <w:tr>
        <w:tc>
          <w:tcPr>
            <w:tcW w:type="dxa" w:w="3200"/>
          </w:tcPr>
          <w:p>
            <w:pPr>
              <w:spacing w:after="40" w:before="40"/>
            </w:pPr>
            <w:r>
              <w:rPr>
                <w:rFonts w:ascii="Calibri" w:cs="Calibri" w:eastAsia="Calibri" w:hAnsi="Calibri"/>
                <w:sz w:val="20"/>
                <w:szCs w:val="20"/>
              </w:rPr>
              <w:t xml:space="preserve">Regulatory scope blurring between software and professional service</w:t>
            </w:r>
          </w:p>
        </w:tc>
        <w:tc>
          <w:tcPr>
            <w:tcW w:type="dxa" w:w="1200"/>
          </w:tcPr>
          <w:p>
            <w:pPr>
              <w:spacing w:after="40" w:before="40"/>
            </w:pPr>
            <w:r>
              <w:rPr>
                <w:rFonts w:ascii="Calibri" w:cs="Calibri" w:eastAsia="Calibri" w:hAnsi="Calibri"/>
                <w:sz w:val="20"/>
                <w:szCs w:val="20"/>
              </w:rPr>
              <w:t xml:space="preserve">Medium</w:t>
            </w:r>
          </w:p>
        </w:tc>
        <w:tc>
          <w:tcPr>
            <w:tcW w:type="dxa" w:w="5160"/>
          </w:tcPr>
          <w:p>
            <w:pPr>
              <w:spacing w:after="40" w:before="40"/>
            </w:pPr>
            <w:r>
              <w:rPr>
                <w:rFonts w:ascii="Calibri" w:cs="Calibri" w:eastAsia="Calibri" w:hAnsi="Calibri"/>
                <w:sz w:val="20"/>
                <w:szCs w:val="20"/>
              </w:rPr>
              <w:t xml:space="preserve">Separate contracts: software terms versus professional engagement letters; written AML and PI confirmations before first paying client</w:t>
            </w:r>
          </w:p>
        </w:tc>
      </w:tr>
    </w:tbl>
    <w:p>
      <w:pPr>
        <w:pStyle w:val="Heading1"/>
        <w:spacing w:after="180" w:before="320"/>
      </w:pPr>
      <w:r>
        <w:rPr>
          <w:rFonts w:ascii="Calibri" w:cs="Calibri" w:eastAsia="Calibri" w:hAnsi="Calibri"/>
        </w:rPr>
        <w:t xml:space="preserve">14. Questions for the Panels, Round Two</w:t>
      </w:r>
    </w:p>
    <w:p>
      <w:pPr>
        <w:pStyle w:val="ListParagraph"/>
        <w:numPr>
          <w:ilvl w:val="0"/>
          <w:numId w:val="6"/>
        </w:numPr>
        <w:spacing w:after="80"/>
      </w:pPr>
      <w:r>
        <w:rPr>
          <w:rFonts w:ascii="Calibri" w:cs="Calibri" w:eastAsia="Calibri" w:hAnsi="Calibri"/>
          <w:sz w:val="22"/>
          <w:szCs w:val="22"/>
        </w:rPr>
        <w:t xml:space="preserve">Do the revised prices (£299 Controls, £649 Close, £135 to £165 hours, £750 to £1,500 implementation) now sit correctly against the value delivered and the support burden conceded? If not, state the correct figure and basis.</w:t>
      </w:r>
    </w:p>
    <w:p>
      <w:pPr>
        <w:pStyle w:val="ListParagraph"/>
        <w:numPr>
          <w:ilvl w:val="0"/>
          <w:numId w:val="6"/>
        </w:numPr>
        <w:spacing w:after="80"/>
      </w:pPr>
      <w:r>
        <w:rPr>
          <w:rFonts w:ascii="Calibri" w:cs="Calibri" w:eastAsia="Calibri" w:hAnsi="Calibri"/>
          <w:sz w:val="22"/>
          <w:szCs w:val="22"/>
        </w:rPr>
        <w:t xml:space="preserve">Is the 26-week, 4-hours-per-day gated sequence in Section 6.2 realistic for the cut scope? Identify the stage most likely to overrun and by how much.</w:t>
      </w:r>
    </w:p>
    <w:p>
      <w:pPr>
        <w:pStyle w:val="ListParagraph"/>
        <w:numPr>
          <w:ilvl w:val="0"/>
          <w:numId w:val="6"/>
        </w:numPr>
        <w:spacing w:after="80"/>
      </w:pPr>
      <w:r>
        <w:rPr>
          <w:rFonts w:ascii="Calibri" w:cs="Calibri" w:eastAsia="Calibri" w:hAnsi="Calibri"/>
          <w:sz w:val="22"/>
          <w:szCs w:val="22"/>
        </w:rPr>
        <w:t xml:space="preserve">Does the week-14 sales gate (three paid design partners or the build pauses) correctly balance sell-before-build against momentum, or should it sit earlier?</w:t>
      </w:r>
    </w:p>
    <w:p>
      <w:pPr>
        <w:pStyle w:val="ListParagraph"/>
        <w:numPr>
          <w:ilvl w:val="0"/>
          <w:numId w:val="6"/>
        </w:numPr>
        <w:spacing w:after="80"/>
      </w:pPr>
      <w:r>
        <w:rPr>
          <w:rFonts w:ascii="Calibri" w:cs="Calibri" w:eastAsia="Calibri" w:hAnsi="Calibri"/>
          <w:sz w:val="22"/>
          <w:szCs w:val="22"/>
        </w:rPr>
        <w:t xml:space="preserve">Is the decision to defer Open Banking to months 7 to 9, with controlled CSV for supervised pilots only, acceptable now that broad direct sales are also deferred? Panel 1 in particular is asked to re-examine its 'fatal' judgement under the parallel-run pilot design.</w:t>
      </w:r>
    </w:p>
    <w:p>
      <w:pPr>
        <w:pStyle w:val="ListParagraph"/>
        <w:numPr>
          <w:ilvl w:val="0"/>
          <w:numId w:val="6"/>
        </w:numPr>
        <w:spacing w:after="80"/>
      </w:pPr>
      <w:r>
        <w:rPr>
          <w:rFonts w:ascii="Calibri" w:cs="Calibri" w:eastAsia="Calibri" w:hAnsi="Calibri"/>
          <w:sz w:val="22"/>
          <w:szCs w:val="22"/>
        </w:rPr>
        <w:t xml:space="preserve">Is the parallel-run trust mechanism an adequate substitute for live Xero, QuickBooks and Sage bridges in year one?</w:t>
      </w:r>
    </w:p>
    <w:p>
      <w:pPr>
        <w:pStyle w:val="ListParagraph"/>
        <w:numPr>
          <w:ilvl w:val="0"/>
          <w:numId w:val="6"/>
        </w:numPr>
        <w:spacing w:after="80"/>
      </w:pPr>
      <w:r>
        <w:rPr>
          <w:rFonts w:ascii="Calibri" w:cs="Calibri" w:eastAsia="Calibri" w:hAnsi="Calibri"/>
          <w:sz w:val="22"/>
          <w:szCs w:val="22"/>
        </w:rPr>
        <w:t xml:space="preserve">Are the revised cost lines in Sections 7.2 to 7.5 now credible? Name any figure still wrong, with the corrected value.</w:t>
      </w:r>
    </w:p>
    <w:p>
      <w:pPr>
        <w:pStyle w:val="ListParagraph"/>
        <w:numPr>
          <w:ilvl w:val="0"/>
          <w:numId w:val="6"/>
        </w:numPr>
        <w:spacing w:after="80"/>
      </w:pPr>
      <w:r>
        <w:rPr>
          <w:rFonts w:ascii="Calibri" w:cs="Calibri" w:eastAsia="Calibri" w:hAnsi="Calibri"/>
          <w:sz w:val="22"/>
          <w:szCs w:val="22"/>
        </w:rPr>
        <w:t xml:space="preserve">Does the month-12 scenario in Section 8.3 survive scrutiny of its conversion assumptions (three design partners convert; one new direct client per month from month 6; one firm by month 9)?</w:t>
      </w:r>
    </w:p>
    <w:p>
      <w:pPr>
        <w:pStyle w:val="ListParagraph"/>
        <w:numPr>
          <w:ilvl w:val="0"/>
          <w:numId w:val="6"/>
        </w:numPr>
        <w:spacing w:after="80"/>
      </w:pPr>
      <w:r>
        <w:rPr>
          <w:rFonts w:ascii="Calibri" w:cs="Calibri" w:eastAsia="Calibri" w:hAnsi="Calibri"/>
          <w:sz w:val="22"/>
          <w:szCs w:val="22"/>
        </w:rPr>
        <w:t xml:space="preserve">Given the sponsor's fixed constraints (4 hours per day, no government-permission dependency, lean cash first), what is the single highest-value change still missing from this revision?</w:t>
      </w:r>
    </w:p>
    <w:p>
      <w:r>
        <w:br w:type="page"/>
      </w:r>
    </w:p>
    <w:p>
      <w:pPr>
        <w:pStyle w:val="Heading1"/>
        <w:spacing w:after="180" w:before="320"/>
      </w:pPr>
      <w:r>
        <w:rPr>
          <w:rFonts w:ascii="Calibri" w:cs="Calibri" w:eastAsia="Calibri" w:hAnsi="Calibri"/>
        </w:rPr>
        <w:t xml:space="preserve">Appendix A: Prompt for the Second-Round Review</w:t>
      </w:r>
    </w:p>
    <w:p>
      <w:pPr>
        <w:spacing w:after="160" w:before="0"/>
      </w:pPr>
      <w:r>
        <w:rPr>
          <w:rFonts w:ascii="Calibri" w:cs="Calibri" w:eastAsia="Calibri" w:hAnsi="Calibri"/>
          <w:i/>
          <w:iCs/>
          <w:sz w:val="22"/>
          <w:szCs w:val="22"/>
        </w:rPr>
        <w:t xml:space="preserve">Copy the text below and attach this Version 2.1 document together with your own first-round review.</w:t>
      </w:r>
    </w:p>
    <w:p>
      <w:pPr>
        <w:spacing w:after="160" w:before="0"/>
      </w:pPr>
      <w:r>
        <w:rPr>
          <w:rFonts w:ascii="Calibri" w:cs="Calibri" w:eastAsia="Calibri" w:hAnsi="Calibri"/>
          <w:sz w:val="20"/>
          <w:szCs w:val="20"/>
        </w:rPr>
        <w:t xml:space="preserve">You are the same expert review panel that critiqued Version 1.0 of this plan. Attached is Version 2.1, revised after considering your review and the reviews of two other independent panels. Section 0 records which findings were accepted and which were rejected, with the sponsor's reasons. Your task now: first, state whether each rejection of your own findings in Section 0.2 is justified, conceding where the sponsor's reasoning is sound and holding your position with further evidence where it is not. Second, answer the eight questions in Section 14 directly. Third, re-mark the plan against the four governing principles (lean cost, standout from competition, ease of use, quality of delivery) noting movement from your first review. Fourth, state any point where the sponsor has over-corrected in response to criticism. Conclude with a verdict: proceed as revised, proceed with the specific further changes you list in priority order, or do not proceed. The sponsor's fixed constraints are 4 founder hours per day, no dependency on government permission before Phase 3, and lean cash cost as first priority; do not propose changes that violate them. Use British English. Do not soften criticism.</w:t>
      </w:r>
    </w:p>
    <w:p>
      <w:pPr>
        <w:spacing w:after="120" w:before="0"/>
      </w:pPr>
      <w:r>
        <w:rPr>
          <w:rFonts w:ascii="Calibri" w:cs="Calibri" w:eastAsia="Calibri" w:hAnsi="Calibri"/>
          <w:sz w:val="22"/>
          <w:szCs w:val="22"/>
        </w:rPr>
        <w:t xml:space="preserve"/>
      </w:r>
    </w:p>
    <w:p>
      <w:pPr>
        <w:spacing w:after="160" w:before="0"/>
      </w:pPr>
      <w:r>
        <w:rPr>
          <w:rFonts w:ascii="Calibri" w:cs="Calibri" w:eastAsia="Calibri" w:hAnsi="Calibri"/>
          <w:i/>
          <w:iCs/>
          <w:color w:val="595959"/>
          <w:sz w:val="22"/>
          <w:szCs w:val="22"/>
        </w:rPr>
        <w:t xml:space="preserve">End of Version 2.1.</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LedgerHouse Plan v2.1  |  Confidential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7"/>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2026-07-10T13:23:56.303Z</dcterms:created>
  <dcterms:modified xsi:type="dcterms:W3CDTF">2026-07-10T13:23:56.316Z</dcterms:modified>
</cp:coreProperties>
</file>

<file path=docProps/custom.xml><?xml version="1.0" encoding="utf-8"?>
<Properties xmlns="http://schemas.openxmlformats.org/officeDocument/2006/custom-properties" xmlns:vt="http://schemas.openxmlformats.org/officeDocument/2006/docPropsVTypes"/>
</file>