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w:hAnsi="Arial"/>
          <w:b/>
          <w:color w:val="17324D"/>
          <w:sz w:val="52"/>
        </w:rPr>
        <w:t>LedgerHouse</w:t>
      </w:r>
    </w:p>
    <w:p>
      <w:pPr>
        <w:spacing w:after="240"/>
      </w:pPr>
      <w:r>
        <w:rPr>
          <w:rFonts w:ascii="Arial" w:hAnsi="Arial"/>
          <w:color w:val="147D8C"/>
          <w:sz w:val="28"/>
        </w:rPr>
        <w:t>UK production server and go-live requirements</w:t>
      </w:r>
    </w:p>
    <w:tbl>
      <w:tblPr>
        <w:tblW w:type="auto" w:w="0"/>
        <w:jc w:val="left"/>
        <w:tblLook w:firstColumn="1" w:firstRow="1" w:lastColumn="0" w:lastRow="0" w:noHBand="0" w:noVBand="1" w:val="04A0"/>
      </w:tblPr>
      <w:tblGrid>
        <w:gridCol w:w="10224"/>
      </w:tblGrid>
      <w:tr>
        <w:tc>
          <w:tcPr>
            <w:tcW w:type="dxa" w:w="10224"/>
            <w:shd w:fill="EAF3F5"/>
            <w:tcMar>
              <w:top w:w="130" w:type="dxa"/>
              <w:start w:w="150" w:type="dxa"/>
              <w:bottom w:w="130" w:type="dxa"/>
              <w:end w:w="150" w:type="dxa"/>
            </w:tcMar>
          </w:tcPr>
          <w:p>
            <w:pPr>
              <w:spacing w:after="0"/>
            </w:pPr>
            <w:r>
              <w:rPr>
                <w:rFonts w:ascii="Arial" w:hAnsi="Arial"/>
                <w:b/>
                <w:color w:val="17324D"/>
              </w:rPr>
              <w:t xml:space="preserve">Request to provider: </w:t>
            </w:r>
            <w:r>
              <w:rPr>
                <w:rFonts w:ascii="Arial" w:hAnsi="Arial"/>
              </w:rPr>
              <w:t>Provide a secure, managed or self-managed Linux VPS suitable for a Docker-based, multi-tenant UK accounting platform. This is not a shared-hosting request. The platform requires a persistent PostgreSQL database, HTTPS, backups, firewall control, SSH-key access and a fixed public IPv4 address.</w:t>
            </w:r>
          </w:p>
        </w:tc>
      </w:tr>
    </w:tbl>
    <w:p/>
    <w:p>
      <w:pPr>
        <w:pStyle w:val="Heading1"/>
        <w:spacing w:before="240" w:after="100"/>
      </w:pPr>
      <w:r>
        <w:rPr>
          <w:rFonts w:ascii="Arial" w:hAnsi="Arial"/>
          <w:color w:val="17324D"/>
        </w:rPr>
        <w:t>1. Product Summary</w:t>
      </w:r>
    </w:p>
    <w:p>
      <w:pPr>
        <w:spacing w:after="100"/>
      </w:pPr>
      <w:r>
        <w:t>LedgerHouse is a SaaS-style full accounts department platform for UK small and medium businesses and accounting practices. Clients submit invoices, receipts, bank files, photos and spreadsheets. Practice staff review the evidence, complete bookkeeping and controls, produce management information, seek client approval and prepare statutory-accounting and tax workflows.</w:t>
      </w:r>
    </w:p>
    <w:p>
      <w:pPr>
        <w:spacing w:after="100"/>
      </w:pPr>
      <w:r>
        <w:t>It is designed as a multi-tenant web application: each client organisation's data is logically segregated, with role-based client and practice workflows, immutable audit events and PostgreSQL-backed accounting controls.</w:t>
      </w:r>
    </w:p>
    <w:p>
      <w:pPr>
        <w:pStyle w:val="Heading1"/>
        <w:spacing w:before="240" w:after="100"/>
      </w:pPr>
      <w:r>
        <w:rPr>
          <w:rFonts w:ascii="Arial" w:hAnsi="Arial"/>
          <w:color w:val="17324D"/>
        </w:rPr>
        <w:t>2. Current Product Functions</w:t>
      </w:r>
    </w:p>
    <w:tbl>
      <w:tblPr>
        <w:tblStyle w:val="TableGrid"/>
        <w:tblW w:type="auto" w:w="0"/>
        <w:jc w:val="left"/>
        <w:tblLayout w:type="fixed"/>
        <w:tblLook w:firstColumn="1" w:firstRow="1" w:lastColumn="0" w:lastRow="0" w:noHBand="0" w:noVBand="1" w:val="04A0"/>
      </w:tblPr>
      <w:tblGrid>
        <w:gridCol w:w="5112"/>
        <w:gridCol w:w="5112"/>
      </w:tblGrid>
      <w:tr>
        <w:trPr>
          <w:tblHeader w:val="true"/>
        </w:trPr>
        <w:tc>
          <w:tcPr>
            <w:tcW w:type="dxa" w:w="2304"/>
            <w:shd w:fill="17324D"/>
            <w:tcMar>
              <w:top w:w="90" w:type="dxa"/>
              <w:start w:w="100" w:type="dxa"/>
              <w:bottom w:w="90" w:type="dxa"/>
              <w:end w:w="100" w:type="dxa"/>
            </w:tcMar>
            <w:vAlign w:val="center"/>
          </w:tcPr>
          <w:p>
            <w:r>
              <w:rPr>
                <w:rFonts w:ascii="Arial" w:hAnsi="Arial"/>
                <w:b/>
                <w:color w:val="FFFFFF"/>
                <w:sz w:val="18"/>
              </w:rPr>
              <w:t>Area</w:t>
            </w:r>
          </w:p>
        </w:tc>
        <w:tc>
          <w:tcPr>
            <w:tcW w:type="dxa" w:w="7992"/>
            <w:shd w:fill="17324D"/>
            <w:tcMar>
              <w:top w:w="90" w:type="dxa"/>
              <w:start w:w="100" w:type="dxa"/>
              <w:bottom w:w="90" w:type="dxa"/>
              <w:end w:w="100" w:type="dxa"/>
            </w:tcMar>
            <w:vAlign w:val="center"/>
          </w:tcPr>
          <w:p>
            <w:r>
              <w:rPr>
                <w:rFonts w:ascii="Arial" w:hAnsi="Arial"/>
                <w:b/>
                <w:color w:val="FFFFFF"/>
                <w:sz w:val="18"/>
              </w:rPr>
              <w:t>LedgerHouse capability</w:t>
            </w:r>
          </w:p>
        </w:tc>
      </w:tr>
      <w:tr>
        <w:tc>
          <w:tcPr>
            <w:tcW w:type="dxa" w:w="5112"/>
            <w:tcMar>
              <w:top w:w="90" w:type="dxa"/>
              <w:start w:w="100" w:type="dxa"/>
              <w:bottom w:w="90" w:type="dxa"/>
              <w:end w:w="100" w:type="dxa"/>
            </w:tcMar>
            <w:vAlign w:val="center"/>
          </w:tcPr>
          <w:p>
            <w:pPr>
              <w:spacing w:after="0"/>
            </w:pPr>
            <w:r>
              <w:rPr>
                <w:rFonts w:ascii="Arial" w:hAnsi="Arial"/>
                <w:sz w:val="17"/>
              </w:rPr>
              <w:t>Client portal</w:t>
            </w:r>
          </w:p>
        </w:tc>
        <w:tc>
          <w:tcPr>
            <w:tcW w:type="dxa" w:w="5112"/>
            <w:tcMar>
              <w:top w:w="90" w:type="dxa"/>
              <w:start w:w="100" w:type="dxa"/>
              <w:bottom w:w="90" w:type="dxa"/>
              <w:end w:w="100" w:type="dxa"/>
            </w:tcMar>
            <w:vAlign w:val="center"/>
          </w:tcPr>
          <w:p>
            <w:pPr>
              <w:spacing w:after="0"/>
            </w:pPr>
            <w:r>
              <w:rPr>
                <w:rFonts w:ascii="Arial" w:hAnsi="Arial"/>
                <w:sz w:val="17"/>
              </w:rPr>
              <w:t>Secure sign-in, document/evidence upload, visible practice progress, questions, approvals and report-pack access.</w:t>
            </w:r>
          </w:p>
        </w:tc>
      </w:tr>
      <w:tr>
        <w:tc>
          <w:tcPr>
            <w:tcW w:type="dxa" w:w="5112"/>
            <w:shd w:fill="F2F4F5"/>
            <w:tcMar>
              <w:top w:w="90" w:type="dxa"/>
              <w:start w:w="100" w:type="dxa"/>
              <w:bottom w:w="90" w:type="dxa"/>
              <w:end w:w="100" w:type="dxa"/>
            </w:tcMar>
            <w:vAlign w:val="center"/>
          </w:tcPr>
          <w:p>
            <w:pPr>
              <w:spacing w:after="0"/>
            </w:pPr>
            <w:r>
              <w:rPr>
                <w:rFonts w:ascii="Arial" w:hAnsi="Arial"/>
                <w:sz w:val="17"/>
              </w:rPr>
              <w:t>Evidence intake</w:t>
            </w:r>
          </w:p>
        </w:tc>
        <w:tc>
          <w:tcPr>
            <w:tcW w:type="dxa" w:w="5112"/>
            <w:shd w:fill="F2F4F5"/>
            <w:tcMar>
              <w:top w:w="90" w:type="dxa"/>
              <w:start w:w="100" w:type="dxa"/>
              <w:bottom w:w="90" w:type="dxa"/>
              <w:end w:w="100" w:type="dxa"/>
            </w:tcMar>
            <w:vAlign w:val="center"/>
          </w:tcPr>
          <w:p>
            <w:pPr>
              <w:spacing w:after="0"/>
            </w:pPr>
            <w:r>
              <w:rPr>
                <w:rFonts w:ascii="Arial" w:hAnsi="Arial"/>
                <w:sz w:val="17"/>
              </w:rPr>
              <w:t>Invoice, receipt, statement and spreadsheet intake; document categorisation, validation, review queues and clear exception outcomes.</w:t>
            </w:r>
          </w:p>
        </w:tc>
      </w:tr>
      <w:tr>
        <w:tc>
          <w:tcPr>
            <w:tcW w:type="dxa" w:w="5112"/>
            <w:tcMar>
              <w:top w:w="90" w:type="dxa"/>
              <w:start w:w="100" w:type="dxa"/>
              <w:bottom w:w="90" w:type="dxa"/>
              <w:end w:w="100" w:type="dxa"/>
            </w:tcMar>
            <w:vAlign w:val="center"/>
          </w:tcPr>
          <w:p>
            <w:pPr>
              <w:spacing w:after="0"/>
            </w:pPr>
            <w:r>
              <w:rPr>
                <w:rFonts w:ascii="Arial" w:hAnsi="Arial"/>
                <w:sz w:val="17"/>
              </w:rPr>
              <w:t>Bookkeeping</w:t>
            </w:r>
          </w:p>
        </w:tc>
        <w:tc>
          <w:tcPr>
            <w:tcW w:type="dxa" w:w="5112"/>
            <w:tcMar>
              <w:top w:w="90" w:type="dxa"/>
              <w:start w:w="100" w:type="dxa"/>
              <w:bottom w:w="90" w:type="dxa"/>
              <w:end w:w="100" w:type="dxa"/>
            </w:tcMar>
            <w:vAlign w:val="center"/>
          </w:tcPr>
          <w:p>
            <w:pPr>
              <w:spacing w:after="0"/>
            </w:pPr>
            <w:r>
              <w:rPr>
                <w:rFonts w:ascii="Arial" w:hAnsi="Arial"/>
                <w:sz w:val="17"/>
              </w:rPr>
              <w:t>Sales and purchase workflow, double-entry ledger support, bank transaction review, matching and reconciliation controls.</w:t>
            </w:r>
          </w:p>
        </w:tc>
      </w:tr>
      <w:tr>
        <w:tc>
          <w:tcPr>
            <w:tcW w:type="dxa" w:w="5112"/>
            <w:shd w:fill="F2F4F5"/>
            <w:tcMar>
              <w:top w:w="90" w:type="dxa"/>
              <w:start w:w="100" w:type="dxa"/>
              <w:bottom w:w="90" w:type="dxa"/>
              <w:end w:w="100" w:type="dxa"/>
            </w:tcMar>
            <w:vAlign w:val="center"/>
          </w:tcPr>
          <w:p>
            <w:pPr>
              <w:spacing w:after="0"/>
            </w:pPr>
            <w:r>
              <w:rPr>
                <w:rFonts w:ascii="Arial" w:hAnsi="Arial"/>
                <w:sz w:val="17"/>
              </w:rPr>
              <w:t>Accounting operations</w:t>
            </w:r>
          </w:p>
        </w:tc>
        <w:tc>
          <w:tcPr>
            <w:tcW w:type="dxa" w:w="5112"/>
            <w:shd w:fill="F2F4F5"/>
            <w:tcMar>
              <w:top w:w="90" w:type="dxa"/>
              <w:start w:w="100" w:type="dxa"/>
              <w:bottom w:w="90" w:type="dxa"/>
              <w:end w:w="100" w:type="dxa"/>
            </w:tcMar>
            <w:vAlign w:val="center"/>
          </w:tcPr>
          <w:p>
            <w:pPr>
              <w:spacing w:after="0"/>
            </w:pPr>
            <w:r>
              <w:rPr>
                <w:rFonts w:ascii="Arial" w:hAnsi="Arial"/>
                <w:sz w:val="17"/>
              </w:rPr>
              <w:t>Recurring accruals, prepayments, depreciation schedules, period-close safeguards, payroll summaries and corporation-tax estimates.</w:t>
            </w:r>
          </w:p>
        </w:tc>
      </w:tr>
      <w:tr>
        <w:tc>
          <w:tcPr>
            <w:tcW w:type="dxa" w:w="5112"/>
            <w:tcMar>
              <w:top w:w="90" w:type="dxa"/>
              <w:start w:w="100" w:type="dxa"/>
              <w:bottom w:w="90" w:type="dxa"/>
              <w:end w:w="100" w:type="dxa"/>
            </w:tcMar>
            <w:vAlign w:val="center"/>
          </w:tcPr>
          <w:p>
            <w:pPr>
              <w:spacing w:after="0"/>
            </w:pPr>
            <w:r>
              <w:rPr>
                <w:rFonts w:ascii="Arial" w:hAnsi="Arial"/>
                <w:sz w:val="17"/>
              </w:rPr>
              <w:t>Management information</w:t>
            </w:r>
          </w:p>
        </w:tc>
        <w:tc>
          <w:tcPr>
            <w:tcW w:type="dxa" w:w="5112"/>
            <w:tcMar>
              <w:top w:w="90" w:type="dxa"/>
              <w:start w:w="100" w:type="dxa"/>
              <w:bottom w:w="90" w:type="dxa"/>
              <w:end w:w="100" w:type="dxa"/>
            </w:tcMar>
            <w:vAlign w:val="center"/>
          </w:tcPr>
          <w:p>
            <w:pPr>
              <w:spacing w:after="0"/>
            </w:pPr>
            <w:r>
              <w:rPr>
                <w:rFonts w:ascii="Arial" w:hAnsi="Arial"/>
                <w:sz w:val="17"/>
              </w:rPr>
              <w:t>Management reports, financial-position reporting, client approval packs, release history and downloadable reporting outputs.</w:t>
            </w:r>
          </w:p>
        </w:tc>
      </w:tr>
      <w:tr>
        <w:tc>
          <w:tcPr>
            <w:tcW w:type="dxa" w:w="5112"/>
            <w:shd w:fill="F2F4F5"/>
            <w:tcMar>
              <w:top w:w="90" w:type="dxa"/>
              <w:start w:w="100" w:type="dxa"/>
              <w:bottom w:w="90" w:type="dxa"/>
              <w:end w:w="100" w:type="dxa"/>
            </w:tcMar>
            <w:vAlign w:val="center"/>
          </w:tcPr>
          <w:p>
            <w:pPr>
              <w:spacing w:after="0"/>
            </w:pPr>
            <w:r>
              <w:rPr>
                <w:rFonts w:ascii="Arial" w:hAnsi="Arial"/>
                <w:sz w:val="17"/>
              </w:rPr>
              <w:t>Practice workspace</w:t>
            </w:r>
          </w:p>
        </w:tc>
        <w:tc>
          <w:tcPr>
            <w:tcW w:type="dxa" w:w="5112"/>
            <w:shd w:fill="F2F4F5"/>
            <w:tcMar>
              <w:top w:w="90" w:type="dxa"/>
              <w:start w:w="100" w:type="dxa"/>
              <w:bottom w:w="90" w:type="dxa"/>
              <w:end w:w="100" w:type="dxa"/>
            </w:tcMar>
            <w:vAlign w:val="center"/>
          </w:tcPr>
          <w:p>
            <w:pPr>
              <w:spacing w:after="0"/>
            </w:pPr>
            <w:r>
              <w:rPr>
                <w:rFonts w:ascii="Arial" w:hAnsi="Arial"/>
                <w:sz w:val="17"/>
              </w:rPr>
              <w:t>Client work queues, assignments, controlled status changes, evidence review, exception register and auditable operational timeline.</w:t>
            </w:r>
          </w:p>
        </w:tc>
      </w:tr>
      <w:tr>
        <w:tc>
          <w:tcPr>
            <w:tcW w:type="dxa" w:w="5112"/>
            <w:tcMar>
              <w:top w:w="90" w:type="dxa"/>
              <w:start w:w="100" w:type="dxa"/>
              <w:bottom w:w="90" w:type="dxa"/>
              <w:end w:w="100" w:type="dxa"/>
            </w:tcMar>
            <w:vAlign w:val="center"/>
          </w:tcPr>
          <w:p>
            <w:pPr>
              <w:spacing w:after="0"/>
            </w:pPr>
            <w:r>
              <w:rPr>
                <w:rFonts w:ascii="Arial" w:hAnsi="Arial"/>
                <w:sz w:val="17"/>
              </w:rPr>
              <w:t>Statutory accounts</w:t>
            </w:r>
          </w:p>
        </w:tc>
        <w:tc>
          <w:tcPr>
            <w:tcW w:type="dxa" w:w="5112"/>
            <w:tcMar>
              <w:top w:w="90" w:type="dxa"/>
              <w:start w:w="100" w:type="dxa"/>
              <w:bottom w:w="90" w:type="dxa"/>
              <w:end w:w="100" w:type="dxa"/>
            </w:tcMar>
            <w:vAlign w:val="center"/>
          </w:tcPr>
          <w:p>
            <w:pPr>
              <w:spacing w:after="0"/>
            </w:pPr>
            <w:r>
              <w:rPr>
                <w:rFonts w:ascii="Arial" w:hAnsi="Arial"/>
                <w:sz w:val="17"/>
              </w:rPr>
              <w:t>Local generation and validation of report-style XHTML/iXBRL accounts for the supported Companies House accounts filing types.</w:t>
            </w:r>
          </w:p>
        </w:tc>
      </w:tr>
      <w:tr>
        <w:tc>
          <w:tcPr>
            <w:tcW w:type="dxa" w:w="5112"/>
            <w:shd w:fill="F2F4F5"/>
            <w:tcMar>
              <w:top w:w="90" w:type="dxa"/>
              <w:start w:w="100" w:type="dxa"/>
              <w:bottom w:w="90" w:type="dxa"/>
              <w:end w:w="100" w:type="dxa"/>
            </w:tcMar>
            <w:vAlign w:val="center"/>
          </w:tcPr>
          <w:p>
            <w:pPr>
              <w:spacing w:after="0"/>
            </w:pPr>
            <w:r>
              <w:rPr>
                <w:rFonts w:ascii="Arial" w:hAnsi="Arial"/>
                <w:sz w:val="17"/>
              </w:rPr>
              <w:t>Government integration</w:t>
            </w:r>
          </w:p>
        </w:tc>
        <w:tc>
          <w:tcPr>
            <w:tcW w:type="dxa" w:w="5112"/>
            <w:shd w:fill="F2F4F5"/>
            <w:tcMar>
              <w:top w:w="90" w:type="dxa"/>
              <w:start w:w="100" w:type="dxa"/>
              <w:bottom w:w="90" w:type="dxa"/>
              <w:end w:w="100" w:type="dxa"/>
            </w:tcMar>
            <w:vAlign w:val="center"/>
          </w:tcPr>
          <w:p>
            <w:pPr>
              <w:spacing w:after="0"/>
            </w:pPr>
            <w:r>
              <w:rPr>
                <w:rFonts w:ascii="Arial" w:hAnsi="Arial"/>
                <w:sz w:val="17"/>
              </w:rPr>
              <w:t>Companies House public-data integration and XML Gateway filing preparation. HMRC integration configuration is isolated to LedgerHouse and remains provider-authorisation dependent.</w:t>
            </w:r>
          </w:p>
        </w:tc>
      </w:tr>
      <w:tr>
        <w:tc>
          <w:tcPr>
            <w:tcW w:type="dxa" w:w="5112"/>
            <w:tcMar>
              <w:top w:w="90" w:type="dxa"/>
              <w:start w:w="100" w:type="dxa"/>
              <w:bottom w:w="90" w:type="dxa"/>
              <w:end w:w="100" w:type="dxa"/>
            </w:tcMar>
            <w:vAlign w:val="center"/>
          </w:tcPr>
          <w:p>
            <w:pPr>
              <w:spacing w:after="0"/>
            </w:pPr>
            <w:r>
              <w:rPr>
                <w:rFonts w:ascii="Arial" w:hAnsi="Arial"/>
                <w:sz w:val="17"/>
              </w:rPr>
              <w:t>Security and controls</w:t>
            </w:r>
          </w:p>
        </w:tc>
        <w:tc>
          <w:tcPr>
            <w:tcW w:type="dxa" w:w="5112"/>
            <w:tcMar>
              <w:top w:w="90" w:type="dxa"/>
              <w:start w:w="100" w:type="dxa"/>
              <w:bottom w:w="90" w:type="dxa"/>
              <w:end w:w="100" w:type="dxa"/>
            </w:tcMar>
            <w:vAlign w:val="center"/>
          </w:tcPr>
          <w:p>
            <w:pPr>
              <w:spacing w:after="0"/>
            </w:pPr>
            <w:r>
              <w:rPr>
                <w:rFonts w:ascii="Arial" w:hAnsi="Arial"/>
                <w:sz w:val="17"/>
              </w:rPr>
              <w:t>Tenant controls, PostgreSQL row-level-security design, audit records, encryption-key configuration, client approval gates and fail-closed filing controls.</w:t>
            </w:r>
          </w:p>
        </w:tc>
      </w:tr>
    </w:tbl>
    <w:p/>
    <w:p>
      <w:pPr>
        <w:pStyle w:val="Heading1"/>
        <w:spacing w:before="240" w:after="100"/>
      </w:pPr>
      <w:r>
        <w:rPr>
          <w:rFonts w:ascii="Arial" w:hAnsi="Arial"/>
          <w:color w:val="17324D"/>
        </w:rPr>
        <w:t>3. Technology Architecture</w:t>
      </w:r>
    </w:p>
    <w:tbl>
      <w:tblPr>
        <w:tblStyle w:val="TableGrid"/>
        <w:tblW w:type="auto" w:w="0"/>
        <w:jc w:val="left"/>
        <w:tblLayout w:type="fixed"/>
        <w:tblLook w:firstColumn="1" w:firstRow="1" w:lastColumn="0" w:lastRow="0" w:noHBand="0" w:noVBand="1" w:val="04A0"/>
      </w:tblPr>
      <w:tblGrid>
        <w:gridCol w:w="5112"/>
        <w:gridCol w:w="5112"/>
      </w:tblGrid>
      <w:tr>
        <w:trPr>
          <w:tblHeader w:val="true"/>
        </w:trPr>
        <w:tc>
          <w:tcPr>
            <w:tcW w:type="dxa" w:w="2304"/>
            <w:shd w:fill="17324D"/>
            <w:tcMar>
              <w:top w:w="90" w:type="dxa"/>
              <w:start w:w="100" w:type="dxa"/>
              <w:bottom w:w="90" w:type="dxa"/>
              <w:end w:w="100" w:type="dxa"/>
            </w:tcMar>
            <w:vAlign w:val="center"/>
          </w:tcPr>
          <w:p>
            <w:r>
              <w:rPr>
                <w:rFonts w:ascii="Arial" w:hAnsi="Arial"/>
                <w:b/>
                <w:color w:val="FFFFFF"/>
                <w:sz w:val="18"/>
              </w:rPr>
              <w:t>Component</w:t>
            </w:r>
          </w:p>
        </w:tc>
        <w:tc>
          <w:tcPr>
            <w:tcW w:type="dxa" w:w="7992"/>
            <w:shd w:fill="17324D"/>
            <w:tcMar>
              <w:top w:w="90" w:type="dxa"/>
              <w:start w:w="100" w:type="dxa"/>
              <w:bottom w:w="90" w:type="dxa"/>
              <w:end w:w="100" w:type="dxa"/>
            </w:tcMar>
            <w:vAlign w:val="center"/>
          </w:tcPr>
          <w:p>
            <w:r>
              <w:rPr>
                <w:rFonts w:ascii="Arial" w:hAnsi="Arial"/>
                <w:b/>
                <w:color w:val="FFFFFF"/>
                <w:sz w:val="18"/>
              </w:rPr>
              <w:t>Required technology</w:t>
            </w:r>
          </w:p>
        </w:tc>
      </w:tr>
      <w:tr>
        <w:tc>
          <w:tcPr>
            <w:tcW w:type="dxa" w:w="5112"/>
            <w:tcMar>
              <w:top w:w="90" w:type="dxa"/>
              <w:start w:w="100" w:type="dxa"/>
              <w:bottom w:w="90" w:type="dxa"/>
              <w:end w:w="100" w:type="dxa"/>
            </w:tcMar>
            <w:vAlign w:val="center"/>
          </w:tcPr>
          <w:p>
            <w:pPr>
              <w:spacing w:after="0"/>
            </w:pPr>
            <w:r>
              <w:rPr>
                <w:rFonts w:ascii="Arial" w:hAnsi="Arial"/>
                <w:sz w:val="17"/>
              </w:rPr>
              <w:t>Application</w:t>
            </w:r>
          </w:p>
        </w:tc>
        <w:tc>
          <w:tcPr>
            <w:tcW w:type="dxa" w:w="5112"/>
            <w:tcMar>
              <w:top w:w="90" w:type="dxa"/>
              <w:start w:w="100" w:type="dxa"/>
              <w:bottom w:w="90" w:type="dxa"/>
              <w:end w:w="100" w:type="dxa"/>
            </w:tcMar>
            <w:vAlign w:val="center"/>
          </w:tcPr>
          <w:p>
            <w:pPr>
              <w:spacing w:after="0"/>
            </w:pPr>
            <w:r>
              <w:rPr>
                <w:rFonts w:ascii="Arial" w:hAnsi="Arial"/>
                <w:sz w:val="17"/>
              </w:rPr>
              <w:t>Python Django application served by Gunicorn in a Docker container.</w:t>
            </w:r>
          </w:p>
        </w:tc>
      </w:tr>
      <w:tr>
        <w:tc>
          <w:tcPr>
            <w:tcW w:type="dxa" w:w="5112"/>
            <w:shd w:fill="F2F4F5"/>
            <w:tcMar>
              <w:top w:w="90" w:type="dxa"/>
              <w:start w:w="100" w:type="dxa"/>
              <w:bottom w:w="90" w:type="dxa"/>
              <w:end w:w="100" w:type="dxa"/>
            </w:tcMar>
            <w:vAlign w:val="center"/>
          </w:tcPr>
          <w:p>
            <w:pPr>
              <w:spacing w:after="0"/>
            </w:pPr>
            <w:r>
              <w:rPr>
                <w:rFonts w:ascii="Arial" w:hAnsi="Arial"/>
                <w:sz w:val="17"/>
              </w:rPr>
              <w:t>Database</w:t>
            </w:r>
          </w:p>
        </w:tc>
        <w:tc>
          <w:tcPr>
            <w:tcW w:type="dxa" w:w="5112"/>
            <w:shd w:fill="F2F4F5"/>
            <w:tcMar>
              <w:top w:w="90" w:type="dxa"/>
              <w:start w:w="100" w:type="dxa"/>
              <w:bottom w:w="90" w:type="dxa"/>
              <w:end w:w="100" w:type="dxa"/>
            </w:tcMar>
            <w:vAlign w:val="center"/>
          </w:tcPr>
          <w:p>
            <w:pPr>
              <w:spacing w:after="0"/>
            </w:pPr>
            <w:r>
              <w:rPr>
                <w:rFonts w:ascii="Arial" w:hAnsi="Arial"/>
                <w:sz w:val="17"/>
              </w:rPr>
              <w:t>PostgreSQL 16 in a separate Docker service with persistent storage. PostgreSQL is mandatory for accounting constraints, closed-period controls, audit protections and tenant isolation.</w:t>
            </w:r>
          </w:p>
        </w:tc>
      </w:tr>
      <w:tr>
        <w:tc>
          <w:tcPr>
            <w:tcW w:type="dxa" w:w="5112"/>
            <w:tcMar>
              <w:top w:w="90" w:type="dxa"/>
              <w:start w:w="100" w:type="dxa"/>
              <w:bottom w:w="90" w:type="dxa"/>
              <w:end w:w="100" w:type="dxa"/>
            </w:tcMar>
            <w:vAlign w:val="center"/>
          </w:tcPr>
          <w:p>
            <w:pPr>
              <w:spacing w:after="0"/>
            </w:pPr>
            <w:r>
              <w:rPr>
                <w:rFonts w:ascii="Arial" w:hAnsi="Arial"/>
                <w:sz w:val="17"/>
              </w:rPr>
              <w:t>Reverse proxy</w:t>
            </w:r>
          </w:p>
        </w:tc>
        <w:tc>
          <w:tcPr>
            <w:tcW w:type="dxa" w:w="5112"/>
            <w:tcMar>
              <w:top w:w="90" w:type="dxa"/>
              <w:start w:w="100" w:type="dxa"/>
              <w:bottom w:w="90" w:type="dxa"/>
              <w:end w:w="100" w:type="dxa"/>
            </w:tcMar>
            <w:vAlign w:val="center"/>
          </w:tcPr>
          <w:p>
            <w:pPr>
              <w:spacing w:after="0"/>
            </w:pPr>
            <w:r>
              <w:rPr>
                <w:rFonts w:ascii="Arial" w:hAnsi="Arial"/>
                <w:sz w:val="17"/>
              </w:rPr>
              <w:t>Caddy on the host, terminating TLS and forwarding HTTPS traffic to the internal application container.</w:t>
            </w:r>
          </w:p>
        </w:tc>
      </w:tr>
      <w:tr>
        <w:tc>
          <w:tcPr>
            <w:tcW w:type="dxa" w:w="5112"/>
            <w:shd w:fill="F2F4F5"/>
            <w:tcMar>
              <w:top w:w="90" w:type="dxa"/>
              <w:start w:w="100" w:type="dxa"/>
              <w:bottom w:w="90" w:type="dxa"/>
              <w:end w:w="100" w:type="dxa"/>
            </w:tcMar>
            <w:vAlign w:val="center"/>
          </w:tcPr>
          <w:p>
            <w:pPr>
              <w:spacing w:after="0"/>
            </w:pPr>
            <w:r>
              <w:rPr>
                <w:rFonts w:ascii="Arial" w:hAnsi="Arial"/>
                <w:sz w:val="17"/>
              </w:rPr>
              <w:t>Deployment</w:t>
            </w:r>
          </w:p>
        </w:tc>
        <w:tc>
          <w:tcPr>
            <w:tcW w:type="dxa" w:w="5112"/>
            <w:shd w:fill="F2F4F5"/>
            <w:tcMar>
              <w:top w:w="90" w:type="dxa"/>
              <w:start w:w="100" w:type="dxa"/>
              <w:bottom w:w="90" w:type="dxa"/>
              <w:end w:w="100" w:type="dxa"/>
            </w:tcMar>
            <w:vAlign w:val="center"/>
          </w:tcPr>
          <w:p>
            <w:pPr>
              <w:spacing w:after="0"/>
            </w:pPr>
            <w:r>
              <w:rPr>
                <w:rFonts w:ascii="Arial" w:hAnsi="Arial"/>
                <w:sz w:val="17"/>
              </w:rPr>
              <w:t>Docker Engine and Docker Compose v2; Git-based application deployment and environment-only configuration.</w:t>
            </w:r>
          </w:p>
        </w:tc>
      </w:tr>
      <w:tr>
        <w:tc>
          <w:tcPr>
            <w:tcW w:type="dxa" w:w="5112"/>
            <w:tcMar>
              <w:top w:w="90" w:type="dxa"/>
              <w:start w:w="100" w:type="dxa"/>
              <w:bottom w:w="90" w:type="dxa"/>
              <w:end w:w="100" w:type="dxa"/>
            </w:tcMar>
            <w:vAlign w:val="center"/>
          </w:tcPr>
          <w:p>
            <w:pPr>
              <w:spacing w:after="0"/>
            </w:pPr>
            <w:r>
              <w:rPr>
                <w:rFonts w:ascii="Arial" w:hAnsi="Arial"/>
                <w:sz w:val="17"/>
              </w:rPr>
              <w:t>Security</w:t>
            </w:r>
          </w:p>
        </w:tc>
        <w:tc>
          <w:tcPr>
            <w:tcW w:type="dxa" w:w="5112"/>
            <w:tcMar>
              <w:top w:w="90" w:type="dxa"/>
              <w:start w:w="100" w:type="dxa"/>
              <w:bottom w:w="90" w:type="dxa"/>
              <w:end w:w="100" w:type="dxa"/>
            </w:tcMar>
            <w:vAlign w:val="center"/>
          </w:tcPr>
          <w:p>
            <w:pPr>
              <w:spacing w:after="0"/>
            </w:pPr>
            <w:r>
              <w:rPr>
                <w:rFonts w:ascii="Arial" w:hAnsi="Arial"/>
                <w:sz w:val="17"/>
              </w:rPr>
              <w:t>HTTPS, secure cookies, HSTS, SSH keys only, firewall, fail2ban, unattended security updates and a non-superuser application database role after initial migration.</w:t>
            </w:r>
          </w:p>
        </w:tc>
      </w:tr>
      <w:tr>
        <w:tc>
          <w:tcPr>
            <w:tcW w:type="dxa" w:w="5112"/>
            <w:shd w:fill="F2F4F5"/>
            <w:tcMar>
              <w:top w:w="90" w:type="dxa"/>
              <w:start w:w="100" w:type="dxa"/>
              <w:bottom w:w="90" w:type="dxa"/>
              <w:end w:w="100" w:type="dxa"/>
            </w:tcMar>
            <w:vAlign w:val="center"/>
          </w:tcPr>
          <w:p>
            <w:pPr>
              <w:spacing w:after="0"/>
            </w:pPr>
            <w:r>
              <w:rPr>
                <w:rFonts w:ascii="Arial" w:hAnsi="Arial"/>
                <w:sz w:val="17"/>
              </w:rPr>
              <w:t>Health monitoring</w:t>
            </w:r>
          </w:p>
        </w:tc>
        <w:tc>
          <w:tcPr>
            <w:tcW w:type="dxa" w:w="5112"/>
            <w:shd w:fill="F2F4F5"/>
            <w:tcMar>
              <w:top w:w="90" w:type="dxa"/>
              <w:start w:w="100" w:type="dxa"/>
              <w:bottom w:w="90" w:type="dxa"/>
              <w:end w:w="100" w:type="dxa"/>
            </w:tcMar>
            <w:vAlign w:val="center"/>
          </w:tcPr>
          <w:p>
            <w:pPr>
              <w:spacing w:after="0"/>
            </w:pPr>
            <w:r>
              <w:rPr>
                <w:rFonts w:ascii="Arial" w:hAnsi="Arial"/>
                <w:sz w:val="17"/>
              </w:rPr>
              <w:t>Application health endpoint at `/healthz/`; Docker health checks for the database and web service.</w:t>
            </w:r>
          </w:p>
        </w:tc>
      </w:tr>
    </w:tbl>
    <w:p/>
    <w:p>
      <w:pPr>
        <w:pStyle w:val="Heading1"/>
        <w:spacing w:before="240" w:after="100"/>
      </w:pPr>
      <w:r>
        <w:rPr>
          <w:rFonts w:ascii="Arial" w:hAnsi="Arial"/>
          <w:color w:val="17324D"/>
        </w:rPr>
        <w:t>4. Server Specification Requested</w:t>
      </w:r>
    </w:p>
    <w:p>
      <w:pPr>
        <w:spacing w:after="100"/>
      </w:pPr>
      <w:r>
        <w:t>The provider should quote the recommended specification. The minimum specification is acceptable only for a tightly controlled early pilot with low concurrent use.</w:t>
      </w:r>
    </w:p>
    <w:tbl>
      <w:tblPr>
        <w:tblStyle w:val="TableGrid"/>
        <w:tblW w:type="auto" w:w="0"/>
        <w:jc w:val="left"/>
        <w:tblLayout w:type="fixed"/>
        <w:tblLook w:firstColumn="1" w:firstRow="1" w:lastColumn="0" w:lastRow="0" w:noHBand="0" w:noVBand="1" w:val="04A0"/>
      </w:tblPr>
      <w:tblGrid>
        <w:gridCol w:w="3408"/>
        <w:gridCol w:w="3408"/>
        <w:gridCol w:w="3408"/>
      </w:tblGrid>
      <w:tr>
        <w:trPr>
          <w:tblHeader w:val="true"/>
        </w:trPr>
        <w:tc>
          <w:tcPr>
            <w:tcW w:type="dxa" w:w="2088"/>
            <w:shd w:fill="17324D"/>
            <w:tcMar>
              <w:top w:w="90" w:type="dxa"/>
              <w:start w:w="100" w:type="dxa"/>
              <w:bottom w:w="90" w:type="dxa"/>
              <w:end w:w="100" w:type="dxa"/>
            </w:tcMar>
            <w:vAlign w:val="center"/>
          </w:tcPr>
          <w:p>
            <w:r>
              <w:rPr>
                <w:rFonts w:ascii="Arial" w:hAnsi="Arial"/>
                <w:b/>
                <w:color w:val="FFFFFF"/>
                <w:sz w:val="18"/>
              </w:rPr>
              <w:t>Requirement</w:t>
            </w:r>
          </w:p>
        </w:tc>
        <w:tc>
          <w:tcPr>
            <w:tcW w:type="dxa" w:w="3960"/>
            <w:shd w:fill="17324D"/>
            <w:tcMar>
              <w:top w:w="90" w:type="dxa"/>
              <w:start w:w="100" w:type="dxa"/>
              <w:bottom w:w="90" w:type="dxa"/>
              <w:end w:w="100" w:type="dxa"/>
            </w:tcMar>
            <w:vAlign w:val="center"/>
          </w:tcPr>
          <w:p>
            <w:r>
              <w:rPr>
                <w:rFonts w:ascii="Arial" w:hAnsi="Arial"/>
                <w:b/>
                <w:color w:val="FFFFFF"/>
                <w:sz w:val="18"/>
              </w:rPr>
              <w:t>Early pilot minimum</w:t>
            </w:r>
          </w:p>
        </w:tc>
        <w:tc>
          <w:tcPr>
            <w:tcW w:type="dxa" w:w="4248"/>
            <w:shd w:fill="17324D"/>
            <w:tcMar>
              <w:top w:w="90" w:type="dxa"/>
              <w:start w:w="100" w:type="dxa"/>
              <w:bottom w:w="90" w:type="dxa"/>
              <w:end w:w="100" w:type="dxa"/>
            </w:tcMar>
            <w:vAlign w:val="center"/>
          </w:tcPr>
          <w:p>
            <w:r>
              <w:rPr>
                <w:rFonts w:ascii="Arial" w:hAnsi="Arial"/>
                <w:b/>
                <w:color w:val="FFFFFF"/>
                <w:sz w:val="18"/>
              </w:rPr>
              <w:t>Recommended for UK client launch</w:t>
            </w:r>
          </w:p>
        </w:tc>
      </w:tr>
      <w:tr>
        <w:tc>
          <w:tcPr>
            <w:tcW w:type="dxa" w:w="3408"/>
            <w:tcMar>
              <w:top w:w="90" w:type="dxa"/>
              <w:start w:w="100" w:type="dxa"/>
              <w:bottom w:w="90" w:type="dxa"/>
              <w:end w:w="100" w:type="dxa"/>
            </w:tcMar>
            <w:vAlign w:val="center"/>
          </w:tcPr>
          <w:p>
            <w:pPr>
              <w:spacing w:after="0"/>
            </w:pPr>
            <w:r>
              <w:rPr>
                <w:rFonts w:ascii="Arial" w:hAnsi="Arial"/>
                <w:sz w:val="17"/>
              </w:rPr>
              <w:t>Virtual server</w:t>
            </w:r>
          </w:p>
        </w:tc>
        <w:tc>
          <w:tcPr>
            <w:tcW w:type="dxa" w:w="3408"/>
            <w:tcMar>
              <w:top w:w="90" w:type="dxa"/>
              <w:start w:w="100" w:type="dxa"/>
              <w:bottom w:w="90" w:type="dxa"/>
              <w:end w:w="100" w:type="dxa"/>
            </w:tcMar>
            <w:vAlign w:val="center"/>
          </w:tcPr>
          <w:p>
            <w:pPr>
              <w:spacing w:after="0"/>
            </w:pPr>
            <w:r>
              <w:rPr>
                <w:rFonts w:ascii="Arial" w:hAnsi="Arial"/>
                <w:sz w:val="17"/>
              </w:rPr>
              <w:t>2 vCPU</w:t>
            </w:r>
          </w:p>
        </w:tc>
        <w:tc>
          <w:tcPr>
            <w:tcW w:type="dxa" w:w="3408"/>
            <w:tcMar>
              <w:top w:w="90" w:type="dxa"/>
              <w:start w:w="100" w:type="dxa"/>
              <w:bottom w:w="90" w:type="dxa"/>
              <w:end w:w="100" w:type="dxa"/>
            </w:tcMar>
            <w:vAlign w:val="center"/>
          </w:tcPr>
          <w:p>
            <w:pPr>
              <w:spacing w:after="0"/>
            </w:pPr>
            <w:r>
              <w:rPr>
                <w:rFonts w:ascii="Arial" w:hAnsi="Arial"/>
                <w:sz w:val="17"/>
              </w:rPr>
              <w:t>4 vCPU</w:t>
            </w:r>
          </w:p>
        </w:tc>
      </w:tr>
      <w:tr>
        <w:tc>
          <w:tcPr>
            <w:tcW w:type="dxa" w:w="3408"/>
            <w:shd w:fill="F2F4F5"/>
            <w:tcMar>
              <w:top w:w="90" w:type="dxa"/>
              <w:start w:w="100" w:type="dxa"/>
              <w:bottom w:w="90" w:type="dxa"/>
              <w:end w:w="100" w:type="dxa"/>
            </w:tcMar>
            <w:vAlign w:val="center"/>
          </w:tcPr>
          <w:p>
            <w:pPr>
              <w:spacing w:after="0"/>
            </w:pPr>
            <w:r>
              <w:rPr>
                <w:rFonts w:ascii="Arial" w:hAnsi="Arial"/>
                <w:sz w:val="17"/>
              </w:rPr>
              <w:t>Memory</w:t>
            </w:r>
          </w:p>
        </w:tc>
        <w:tc>
          <w:tcPr>
            <w:tcW w:type="dxa" w:w="3408"/>
            <w:shd w:fill="F2F4F5"/>
            <w:tcMar>
              <w:top w:w="90" w:type="dxa"/>
              <w:start w:w="100" w:type="dxa"/>
              <w:bottom w:w="90" w:type="dxa"/>
              <w:end w:w="100" w:type="dxa"/>
            </w:tcMar>
            <w:vAlign w:val="center"/>
          </w:tcPr>
          <w:p>
            <w:pPr>
              <w:spacing w:after="0"/>
            </w:pPr>
            <w:r>
              <w:rPr>
                <w:rFonts w:ascii="Arial" w:hAnsi="Arial"/>
                <w:sz w:val="17"/>
              </w:rPr>
              <w:t>4 GB RAM</w:t>
            </w:r>
          </w:p>
        </w:tc>
        <w:tc>
          <w:tcPr>
            <w:tcW w:type="dxa" w:w="3408"/>
            <w:shd w:fill="F2F4F5"/>
            <w:tcMar>
              <w:top w:w="90" w:type="dxa"/>
              <w:start w:w="100" w:type="dxa"/>
              <w:bottom w:w="90" w:type="dxa"/>
              <w:end w:w="100" w:type="dxa"/>
            </w:tcMar>
            <w:vAlign w:val="center"/>
          </w:tcPr>
          <w:p>
            <w:pPr>
              <w:spacing w:after="0"/>
            </w:pPr>
            <w:r>
              <w:rPr>
                <w:rFonts w:ascii="Arial" w:hAnsi="Arial"/>
                <w:sz w:val="17"/>
              </w:rPr>
              <w:t>8 GB RAM</w:t>
            </w:r>
          </w:p>
        </w:tc>
      </w:tr>
      <w:tr>
        <w:tc>
          <w:tcPr>
            <w:tcW w:type="dxa" w:w="3408"/>
            <w:tcMar>
              <w:top w:w="90" w:type="dxa"/>
              <w:start w:w="100" w:type="dxa"/>
              <w:bottom w:w="90" w:type="dxa"/>
              <w:end w:w="100" w:type="dxa"/>
            </w:tcMar>
            <w:vAlign w:val="center"/>
          </w:tcPr>
          <w:p>
            <w:pPr>
              <w:spacing w:after="0"/>
            </w:pPr>
            <w:r>
              <w:rPr>
                <w:rFonts w:ascii="Arial" w:hAnsi="Arial"/>
                <w:sz w:val="17"/>
              </w:rPr>
              <w:t>Storage</w:t>
            </w:r>
          </w:p>
        </w:tc>
        <w:tc>
          <w:tcPr>
            <w:tcW w:type="dxa" w:w="3408"/>
            <w:tcMar>
              <w:top w:w="90" w:type="dxa"/>
              <w:start w:w="100" w:type="dxa"/>
              <w:bottom w:w="90" w:type="dxa"/>
              <w:end w:w="100" w:type="dxa"/>
            </w:tcMar>
            <w:vAlign w:val="center"/>
          </w:tcPr>
          <w:p>
            <w:pPr>
              <w:spacing w:after="0"/>
            </w:pPr>
            <w:r>
              <w:rPr>
                <w:rFonts w:ascii="Arial" w:hAnsi="Arial"/>
                <w:sz w:val="17"/>
              </w:rPr>
              <w:t>40 GB NVMe SSD</w:t>
            </w:r>
          </w:p>
        </w:tc>
        <w:tc>
          <w:tcPr>
            <w:tcW w:type="dxa" w:w="3408"/>
            <w:tcMar>
              <w:top w:w="90" w:type="dxa"/>
              <w:start w:w="100" w:type="dxa"/>
              <w:bottom w:w="90" w:type="dxa"/>
              <w:end w:w="100" w:type="dxa"/>
            </w:tcMar>
            <w:vAlign w:val="center"/>
          </w:tcPr>
          <w:p>
            <w:pPr>
              <w:spacing w:after="0"/>
            </w:pPr>
            <w:r>
              <w:rPr>
                <w:rFonts w:ascii="Arial" w:hAnsi="Arial"/>
                <w:sz w:val="17"/>
              </w:rPr>
              <w:t>80 GB NVMe SSD, expandable</w:t>
            </w:r>
          </w:p>
        </w:tc>
      </w:tr>
      <w:tr>
        <w:tc>
          <w:tcPr>
            <w:tcW w:type="dxa" w:w="3408"/>
            <w:shd w:fill="F2F4F5"/>
            <w:tcMar>
              <w:top w:w="90" w:type="dxa"/>
              <w:start w:w="100" w:type="dxa"/>
              <w:bottom w:w="90" w:type="dxa"/>
              <w:end w:w="100" w:type="dxa"/>
            </w:tcMar>
            <w:vAlign w:val="center"/>
          </w:tcPr>
          <w:p>
            <w:pPr>
              <w:spacing w:after="0"/>
            </w:pPr>
            <w:r>
              <w:rPr>
                <w:rFonts w:ascii="Arial" w:hAnsi="Arial"/>
                <w:sz w:val="17"/>
              </w:rPr>
              <w:t>Operating system</w:t>
            </w:r>
          </w:p>
        </w:tc>
        <w:tc>
          <w:tcPr>
            <w:tcW w:type="dxa" w:w="3408"/>
            <w:shd w:fill="F2F4F5"/>
            <w:tcMar>
              <w:top w:w="90" w:type="dxa"/>
              <w:start w:w="100" w:type="dxa"/>
              <w:bottom w:w="90" w:type="dxa"/>
              <w:end w:w="100" w:type="dxa"/>
            </w:tcMar>
            <w:vAlign w:val="center"/>
          </w:tcPr>
          <w:p>
            <w:pPr>
              <w:spacing w:after="0"/>
            </w:pPr>
            <w:r>
              <w:rPr>
                <w:rFonts w:ascii="Arial" w:hAnsi="Arial"/>
                <w:sz w:val="17"/>
              </w:rPr>
              <w:t>Ubuntu Server 24.04 LTS</w:t>
            </w:r>
          </w:p>
        </w:tc>
        <w:tc>
          <w:tcPr>
            <w:tcW w:type="dxa" w:w="3408"/>
            <w:shd w:fill="F2F4F5"/>
            <w:tcMar>
              <w:top w:w="90" w:type="dxa"/>
              <w:start w:w="100" w:type="dxa"/>
              <w:bottom w:w="90" w:type="dxa"/>
              <w:end w:w="100" w:type="dxa"/>
            </w:tcMar>
            <w:vAlign w:val="center"/>
          </w:tcPr>
          <w:p>
            <w:pPr>
              <w:spacing w:after="0"/>
            </w:pPr>
            <w:r>
              <w:rPr>
                <w:rFonts w:ascii="Arial" w:hAnsi="Arial"/>
                <w:sz w:val="17"/>
              </w:rPr>
              <w:t>Ubuntu Server 24.04 LTS</w:t>
            </w:r>
          </w:p>
        </w:tc>
      </w:tr>
      <w:tr>
        <w:tc>
          <w:tcPr>
            <w:tcW w:type="dxa" w:w="3408"/>
            <w:tcMar>
              <w:top w:w="90" w:type="dxa"/>
              <w:start w:w="100" w:type="dxa"/>
              <w:bottom w:w="90" w:type="dxa"/>
              <w:end w:w="100" w:type="dxa"/>
            </w:tcMar>
            <w:vAlign w:val="center"/>
          </w:tcPr>
          <w:p>
            <w:pPr>
              <w:spacing w:after="0"/>
            </w:pPr>
            <w:r>
              <w:rPr>
                <w:rFonts w:ascii="Arial" w:hAnsi="Arial"/>
                <w:sz w:val="17"/>
              </w:rPr>
              <w:t>Public networking</w:t>
            </w:r>
          </w:p>
        </w:tc>
        <w:tc>
          <w:tcPr>
            <w:tcW w:type="dxa" w:w="3408"/>
            <w:tcMar>
              <w:top w:w="90" w:type="dxa"/>
              <w:start w:w="100" w:type="dxa"/>
              <w:bottom w:w="90" w:type="dxa"/>
              <w:end w:w="100" w:type="dxa"/>
            </w:tcMar>
            <w:vAlign w:val="center"/>
          </w:tcPr>
          <w:p>
            <w:pPr>
              <w:spacing w:after="0"/>
            </w:pPr>
            <w:r>
              <w:rPr>
                <w:rFonts w:ascii="Arial" w:hAnsi="Arial"/>
                <w:sz w:val="17"/>
              </w:rPr>
              <w:t>1 static public IPv4; IPv6 desirable</w:t>
            </w:r>
          </w:p>
        </w:tc>
        <w:tc>
          <w:tcPr>
            <w:tcW w:type="dxa" w:w="3408"/>
            <w:tcMar>
              <w:top w:w="90" w:type="dxa"/>
              <w:start w:w="100" w:type="dxa"/>
              <w:bottom w:w="90" w:type="dxa"/>
              <w:end w:w="100" w:type="dxa"/>
            </w:tcMar>
            <w:vAlign w:val="center"/>
          </w:tcPr>
          <w:p>
            <w:pPr>
              <w:spacing w:after="0"/>
            </w:pPr>
            <w:r>
              <w:rPr>
                <w:rFonts w:ascii="Arial" w:hAnsi="Arial"/>
                <w:sz w:val="17"/>
              </w:rPr>
              <w:t>1 static public IPv4; IPv6 desirable</w:t>
            </w:r>
          </w:p>
        </w:tc>
      </w:tr>
      <w:tr>
        <w:tc>
          <w:tcPr>
            <w:tcW w:type="dxa" w:w="3408"/>
            <w:shd w:fill="F2F4F5"/>
            <w:tcMar>
              <w:top w:w="90" w:type="dxa"/>
              <w:start w:w="100" w:type="dxa"/>
              <w:bottom w:w="90" w:type="dxa"/>
              <w:end w:w="100" w:type="dxa"/>
            </w:tcMar>
            <w:vAlign w:val="center"/>
          </w:tcPr>
          <w:p>
            <w:pPr>
              <w:spacing w:after="0"/>
            </w:pPr>
            <w:r>
              <w:rPr>
                <w:rFonts w:ascii="Arial" w:hAnsi="Arial"/>
                <w:sz w:val="17"/>
              </w:rPr>
              <w:t>Network transfer</w:t>
            </w:r>
          </w:p>
        </w:tc>
        <w:tc>
          <w:tcPr>
            <w:tcW w:type="dxa" w:w="3408"/>
            <w:shd w:fill="F2F4F5"/>
            <w:tcMar>
              <w:top w:w="90" w:type="dxa"/>
              <w:start w:w="100" w:type="dxa"/>
              <w:bottom w:w="90" w:type="dxa"/>
              <w:end w:w="100" w:type="dxa"/>
            </w:tcMar>
            <w:vAlign w:val="center"/>
          </w:tcPr>
          <w:p>
            <w:pPr>
              <w:spacing w:after="0"/>
            </w:pPr>
            <w:r>
              <w:rPr>
                <w:rFonts w:ascii="Arial" w:hAnsi="Arial"/>
                <w:sz w:val="17"/>
              </w:rPr>
              <w:t>At least 1 TB/month or unmetered</w:t>
            </w:r>
          </w:p>
        </w:tc>
        <w:tc>
          <w:tcPr>
            <w:tcW w:type="dxa" w:w="3408"/>
            <w:shd w:fill="F2F4F5"/>
            <w:tcMar>
              <w:top w:w="90" w:type="dxa"/>
              <w:start w:w="100" w:type="dxa"/>
              <w:bottom w:w="90" w:type="dxa"/>
              <w:end w:w="100" w:type="dxa"/>
            </w:tcMar>
            <w:vAlign w:val="center"/>
          </w:tcPr>
          <w:p>
            <w:pPr>
              <w:spacing w:after="0"/>
            </w:pPr>
            <w:r>
              <w:rPr>
                <w:rFonts w:ascii="Arial" w:hAnsi="Arial"/>
                <w:sz w:val="17"/>
              </w:rPr>
              <w:t>At least 2 TB/month or unmetered</w:t>
            </w:r>
          </w:p>
        </w:tc>
      </w:tr>
      <w:tr>
        <w:tc>
          <w:tcPr>
            <w:tcW w:type="dxa" w:w="3408"/>
            <w:tcMar>
              <w:top w:w="90" w:type="dxa"/>
              <w:start w:w="100" w:type="dxa"/>
              <w:bottom w:w="90" w:type="dxa"/>
              <w:end w:w="100" w:type="dxa"/>
            </w:tcMar>
            <w:vAlign w:val="center"/>
          </w:tcPr>
          <w:p>
            <w:pPr>
              <w:spacing w:after="0"/>
            </w:pPr>
            <w:r>
              <w:rPr>
                <w:rFonts w:ascii="Arial" w:hAnsi="Arial"/>
                <w:sz w:val="17"/>
              </w:rPr>
              <w:t>Location</w:t>
            </w:r>
          </w:p>
        </w:tc>
        <w:tc>
          <w:tcPr>
            <w:tcW w:type="dxa" w:w="3408"/>
            <w:tcMar>
              <w:top w:w="90" w:type="dxa"/>
              <w:start w:w="100" w:type="dxa"/>
              <w:bottom w:w="90" w:type="dxa"/>
              <w:end w:w="100" w:type="dxa"/>
            </w:tcMar>
            <w:vAlign w:val="center"/>
          </w:tcPr>
          <w:p>
            <w:pPr>
              <w:spacing w:after="0"/>
            </w:pPr>
            <w:r>
              <w:rPr>
                <w:rFonts w:ascii="Arial" w:hAnsi="Arial"/>
                <w:sz w:val="17"/>
              </w:rPr>
              <w:t>UK or EEA data centre</w:t>
            </w:r>
          </w:p>
        </w:tc>
        <w:tc>
          <w:tcPr>
            <w:tcW w:type="dxa" w:w="3408"/>
            <w:tcMar>
              <w:top w:w="90" w:type="dxa"/>
              <w:start w:w="100" w:type="dxa"/>
              <w:bottom w:w="90" w:type="dxa"/>
              <w:end w:w="100" w:type="dxa"/>
            </w:tcMar>
            <w:vAlign w:val="center"/>
          </w:tcPr>
          <w:p>
            <w:pPr>
              <w:spacing w:after="0"/>
            </w:pPr>
            <w:r>
              <w:rPr>
                <w:rFonts w:ascii="Arial" w:hAnsi="Arial"/>
                <w:sz w:val="17"/>
              </w:rPr>
              <w:t>UK data centre preferred; EEA acceptable with suitable UK GDPR terms</w:t>
            </w:r>
          </w:p>
        </w:tc>
      </w:tr>
      <w:tr>
        <w:tc>
          <w:tcPr>
            <w:tcW w:type="dxa" w:w="3408"/>
            <w:shd w:fill="F2F4F5"/>
            <w:tcMar>
              <w:top w:w="90" w:type="dxa"/>
              <w:start w:w="100" w:type="dxa"/>
              <w:bottom w:w="90" w:type="dxa"/>
              <w:end w:w="100" w:type="dxa"/>
            </w:tcMar>
            <w:vAlign w:val="center"/>
          </w:tcPr>
          <w:p>
            <w:pPr>
              <w:spacing w:after="0"/>
            </w:pPr>
            <w:r>
              <w:rPr>
                <w:rFonts w:ascii="Arial" w:hAnsi="Arial"/>
                <w:sz w:val="17"/>
              </w:rPr>
              <w:t>Backups</w:t>
            </w:r>
          </w:p>
        </w:tc>
        <w:tc>
          <w:tcPr>
            <w:tcW w:type="dxa" w:w="3408"/>
            <w:shd w:fill="F2F4F5"/>
            <w:tcMar>
              <w:top w:w="90" w:type="dxa"/>
              <w:start w:w="100" w:type="dxa"/>
              <w:bottom w:w="90" w:type="dxa"/>
              <w:end w:w="100" w:type="dxa"/>
            </w:tcMar>
            <w:vAlign w:val="center"/>
          </w:tcPr>
          <w:p>
            <w:pPr>
              <w:spacing w:after="0"/>
            </w:pPr>
            <w:r>
              <w:rPr>
                <w:rFonts w:ascii="Arial" w:hAnsi="Arial"/>
                <w:sz w:val="17"/>
              </w:rPr>
              <w:t>Daily backup and restore capability</w:t>
            </w:r>
          </w:p>
        </w:tc>
        <w:tc>
          <w:tcPr>
            <w:tcW w:type="dxa" w:w="3408"/>
            <w:shd w:fill="F2F4F5"/>
            <w:tcMar>
              <w:top w:w="90" w:type="dxa"/>
              <w:start w:w="100" w:type="dxa"/>
              <w:bottom w:w="90" w:type="dxa"/>
              <w:end w:w="100" w:type="dxa"/>
            </w:tcMar>
            <w:vAlign w:val="center"/>
          </w:tcPr>
          <w:p>
            <w:pPr>
              <w:spacing w:after="0"/>
            </w:pPr>
            <w:r>
              <w:rPr>
                <w:rFonts w:ascii="Arial" w:hAnsi="Arial"/>
                <w:sz w:val="17"/>
              </w:rPr>
              <w:t>Daily encrypted off-host backup plus retained snapshots and documented restore procedure</w:t>
            </w:r>
          </w:p>
        </w:tc>
      </w:tr>
      <w:tr>
        <w:tc>
          <w:tcPr>
            <w:tcW w:type="dxa" w:w="3408"/>
            <w:tcMar>
              <w:top w:w="90" w:type="dxa"/>
              <w:start w:w="100" w:type="dxa"/>
              <w:bottom w:w="90" w:type="dxa"/>
              <w:end w:w="100" w:type="dxa"/>
            </w:tcMar>
            <w:vAlign w:val="center"/>
          </w:tcPr>
          <w:p>
            <w:pPr>
              <w:spacing w:after="0"/>
            </w:pPr>
            <w:r>
              <w:rPr>
                <w:rFonts w:ascii="Arial" w:hAnsi="Arial"/>
                <w:sz w:val="17"/>
              </w:rPr>
              <w:t>Availability</w:t>
            </w:r>
          </w:p>
        </w:tc>
        <w:tc>
          <w:tcPr>
            <w:tcW w:type="dxa" w:w="3408"/>
            <w:tcMar>
              <w:top w:w="90" w:type="dxa"/>
              <w:start w:w="100" w:type="dxa"/>
              <w:bottom w:w="90" w:type="dxa"/>
              <w:end w:w="100" w:type="dxa"/>
            </w:tcMar>
            <w:vAlign w:val="center"/>
          </w:tcPr>
          <w:p>
            <w:pPr>
              <w:spacing w:after="0"/>
            </w:pPr>
            <w:r>
              <w:rPr>
                <w:rFonts w:ascii="Arial" w:hAnsi="Arial"/>
                <w:sz w:val="17"/>
              </w:rPr>
              <w:t>Provider monitoring and support</w:t>
            </w:r>
          </w:p>
        </w:tc>
        <w:tc>
          <w:tcPr>
            <w:tcW w:type="dxa" w:w="3408"/>
            <w:tcMar>
              <w:top w:w="90" w:type="dxa"/>
              <w:start w:w="100" w:type="dxa"/>
              <w:bottom w:w="90" w:type="dxa"/>
              <w:end w:w="100" w:type="dxa"/>
            </w:tcMar>
            <w:vAlign w:val="center"/>
          </w:tcPr>
          <w:p>
            <w:pPr>
              <w:spacing w:after="0"/>
            </w:pPr>
            <w:r>
              <w:rPr>
                <w:rFonts w:ascii="Arial" w:hAnsi="Arial"/>
                <w:sz w:val="17"/>
              </w:rPr>
              <w:t>24/7 host monitoring, incident contact route and a published uptime commitment</w:t>
            </w:r>
          </w:p>
        </w:tc>
      </w:tr>
    </w:tbl>
    <w:p/>
    <w:p>
      <w:pPr>
        <w:pStyle w:val="Heading1"/>
        <w:spacing w:before="240" w:after="100"/>
      </w:pPr>
      <w:r>
        <w:rPr>
          <w:rFonts w:ascii="Arial" w:hAnsi="Arial"/>
          <w:color w:val="17324D"/>
        </w:rPr>
        <w:t>5. Non-Negotiable Provider Capabilities</w:t>
      </w:r>
    </w:p>
    <w:p>
      <w:pPr>
        <w:pStyle w:val="ListBullet"/>
        <w:spacing w:after="40"/>
      </w:pPr>
      <w:r>
        <w:rPr>
          <w:rFonts w:ascii="Arial" w:hAnsi="Arial"/>
          <w:sz w:val="18"/>
        </w:rPr>
        <w:t>Full administrative control of the VPS, including SSH key access and permission to run Docker Engine and Docker Compose v2.</w:t>
      </w:r>
    </w:p>
    <w:p>
      <w:pPr>
        <w:pStyle w:val="ListBullet"/>
        <w:spacing w:after="40"/>
      </w:pPr>
      <w:r>
        <w:rPr>
          <w:rFonts w:ascii="Arial" w:hAnsi="Arial"/>
          <w:sz w:val="18"/>
        </w:rPr>
        <w:t>A persistent disk/volume for PostgreSQL data. The database must not be ephemeral and must not be exposed directly to the public internet.</w:t>
      </w:r>
    </w:p>
    <w:p>
      <w:pPr>
        <w:pStyle w:val="ListBullet"/>
        <w:spacing w:after="40"/>
      </w:pPr>
      <w:r>
        <w:rPr>
          <w:rFonts w:ascii="Arial" w:hAnsi="Arial"/>
          <w:sz w:val="18"/>
        </w:rPr>
        <w:t>Control of firewall rules or an equivalent provider firewall. Public inbound traffic is limited to TCP 80 and 443; SSH TCP 22 is restricted to the administrator's approved IP address where feasible.</w:t>
      </w:r>
    </w:p>
    <w:p>
      <w:pPr>
        <w:pStyle w:val="ListBullet"/>
        <w:spacing w:after="40"/>
      </w:pPr>
      <w:r>
        <w:rPr>
          <w:rFonts w:ascii="Arial" w:hAnsi="Arial"/>
          <w:sz w:val="18"/>
        </w:rPr>
        <w:t>A fixed public IPv4 address for DNS, TLS certificate issuance and future government/provider allow-listing where required.</w:t>
      </w:r>
    </w:p>
    <w:p>
      <w:pPr>
        <w:pStyle w:val="ListBullet"/>
        <w:spacing w:after="40"/>
      </w:pPr>
      <w:r>
        <w:rPr>
          <w:rFonts w:ascii="Arial" w:hAnsi="Arial"/>
          <w:sz w:val="18"/>
        </w:rPr>
        <w:t>Ability to create DNS A/AAAA records or clear delegation instructions for `ledgerhouse.finaccord.pro`.</w:t>
      </w:r>
    </w:p>
    <w:p>
      <w:pPr>
        <w:pStyle w:val="ListBullet"/>
        <w:spacing w:after="40"/>
      </w:pPr>
      <w:r>
        <w:rPr>
          <w:rFonts w:ascii="Arial" w:hAnsi="Arial"/>
          <w:sz w:val="18"/>
        </w:rPr>
        <w:t>No forced control panel, application proxy or managed database layer that prevents Caddy, Docker, PostgreSQL volumes or standard Linux administration.</w:t>
      </w:r>
    </w:p>
    <w:p>
      <w:pPr>
        <w:pStyle w:val="ListBullet"/>
        <w:spacing w:after="40"/>
      </w:pPr>
      <w:r>
        <w:rPr>
          <w:rFonts w:ascii="Arial" w:hAnsi="Arial"/>
          <w:sz w:val="18"/>
        </w:rPr>
        <w:t>A current data-processing agreement and clear statement of data-centre location, sub-processors, backup location and incident-notification process suitable for UK business data.</w:t>
      </w:r>
    </w:p>
    <w:p>
      <w:pPr>
        <w:pStyle w:val="Heading1"/>
        <w:spacing w:before="240" w:after="100"/>
      </w:pPr>
      <w:r>
        <w:rPr>
          <w:rFonts w:ascii="Arial" w:hAnsi="Arial"/>
          <w:color w:val="17324D"/>
        </w:rPr>
        <w:t>6. Required Production Topology</w:t>
      </w:r>
    </w:p>
    <w:p>
      <w:pPr>
        <w:spacing w:after="100"/>
      </w:pPr>
      <w:r>
        <w:t>The provider need only supply the server and network capabilities. LedgerHouse deploys its own application stack as follows:</w:t>
      </w:r>
    </w:p>
    <w:p>
      <w:pPr>
        <w:pStyle w:val="ListNumber"/>
        <w:spacing w:after="60"/>
      </w:pPr>
      <w:r>
        <w:rPr>
          <w:rFonts w:ascii="Arial" w:hAnsi="Arial"/>
          <w:sz w:val="18"/>
        </w:rPr>
        <w:t>DNS directs `ledgerhouse.finaccord.pro` to the server's static IP address.</w:t>
      </w:r>
    </w:p>
    <w:p>
      <w:pPr>
        <w:pStyle w:val="ListNumber"/>
        <w:spacing w:after="60"/>
      </w:pPr>
      <w:r>
        <w:rPr>
          <w:rFonts w:ascii="Arial" w:hAnsi="Arial"/>
          <w:sz w:val="18"/>
        </w:rPr>
        <w:t>Caddy listens publicly on HTTPS and obtains/renews TLS certificates automatically after DNS is valid.</w:t>
      </w:r>
    </w:p>
    <w:p>
      <w:pPr>
        <w:pStyle w:val="ListNumber"/>
        <w:spacing w:after="60"/>
      </w:pPr>
      <w:r>
        <w:rPr>
          <w:rFonts w:ascii="Arial" w:hAnsi="Arial"/>
          <w:sz w:val="18"/>
        </w:rPr>
        <w:t>Caddy reverse-proxies requests only to the LedgerHouse Docker web container on the private host interface.</w:t>
      </w:r>
    </w:p>
    <w:p>
      <w:pPr>
        <w:pStyle w:val="ListNumber"/>
        <w:spacing w:after="60"/>
      </w:pPr>
      <w:r>
        <w:rPr>
          <w:rFonts w:ascii="Arial" w:hAnsi="Arial"/>
          <w:sz w:val="18"/>
        </w:rPr>
        <w:t>The Django/Gunicorn web container connects to the PostgreSQL 16 container over the Docker network.</w:t>
      </w:r>
    </w:p>
    <w:p>
      <w:pPr>
        <w:pStyle w:val="ListNumber"/>
        <w:spacing w:after="60"/>
      </w:pPr>
      <w:r>
        <w:rPr>
          <w:rFonts w:ascii="Arial" w:hAnsi="Arial"/>
          <w:sz w:val="18"/>
        </w:rPr>
        <w:t>PostgreSQL uses an encrypted-provider disk or persistent volume; its port is not published publicly.</w:t>
      </w:r>
    </w:p>
    <w:p>
      <w:pPr>
        <w:pStyle w:val="ListNumber"/>
        <w:spacing w:after="60"/>
      </w:pPr>
      <w:r>
        <w:rPr>
          <w:rFonts w:ascii="Arial" w:hAnsi="Arial"/>
          <w:sz w:val="18"/>
        </w:rPr>
        <w:t>A separate private server directory holds environment configuration and the LedgerHouse-only Companies House credential file. It is mounted read-only into the application container and is never committed to source control.</w:t>
      </w:r>
    </w:p>
    <w:p>
      <w:pPr>
        <w:pStyle w:val="ListNumber"/>
        <w:spacing w:after="60"/>
      </w:pPr>
      <w:r>
        <w:rPr>
          <w:rFonts w:ascii="Arial" w:hAnsi="Arial"/>
          <w:sz w:val="18"/>
        </w:rPr>
        <w:t>Backups run from the database volume to a separate encrypted, off-host location. Restore tests are performed before commercial onboarding.</w:t>
      </w:r>
    </w:p>
    <w:p>
      <w:pPr>
        <w:pStyle w:val="Heading1"/>
        <w:spacing w:before="240" w:after="100"/>
      </w:pPr>
      <w:r>
        <w:rPr>
          <w:rFonts w:ascii="Arial" w:hAnsi="Arial"/>
          <w:color w:val="17324D"/>
        </w:rPr>
        <w:t>7. Security, Privacy and Operational Requirements</w:t>
      </w:r>
    </w:p>
    <w:tbl>
      <w:tblPr>
        <w:tblStyle w:val="TableGrid"/>
        <w:tblW w:type="auto" w:w="0"/>
        <w:jc w:val="left"/>
        <w:tblLayout w:type="fixed"/>
        <w:tblLook w:firstColumn="1" w:firstRow="1" w:lastColumn="0" w:lastRow="0" w:noHBand="0" w:noVBand="1" w:val="04A0"/>
      </w:tblPr>
      <w:tblGrid>
        <w:gridCol w:w="5112"/>
        <w:gridCol w:w="5112"/>
      </w:tblGrid>
      <w:tr>
        <w:trPr>
          <w:tblHeader w:val="true"/>
        </w:trPr>
        <w:tc>
          <w:tcPr>
            <w:tcW w:type="dxa" w:w="2232"/>
            <w:shd w:fill="17324D"/>
            <w:tcMar>
              <w:top w:w="90" w:type="dxa"/>
              <w:start w:w="100" w:type="dxa"/>
              <w:bottom w:w="90" w:type="dxa"/>
              <w:end w:w="100" w:type="dxa"/>
            </w:tcMar>
            <w:vAlign w:val="center"/>
          </w:tcPr>
          <w:p>
            <w:r>
              <w:rPr>
                <w:rFonts w:ascii="Arial" w:hAnsi="Arial"/>
                <w:b/>
                <w:color w:val="FFFFFF"/>
                <w:sz w:val="18"/>
              </w:rPr>
              <w:t>Control</w:t>
            </w:r>
          </w:p>
        </w:tc>
        <w:tc>
          <w:tcPr>
            <w:tcW w:type="dxa" w:w="8063"/>
            <w:shd w:fill="17324D"/>
            <w:tcMar>
              <w:top w:w="90" w:type="dxa"/>
              <w:start w:w="100" w:type="dxa"/>
              <w:bottom w:w="90" w:type="dxa"/>
              <w:end w:w="100" w:type="dxa"/>
            </w:tcMar>
            <w:vAlign w:val="center"/>
          </w:tcPr>
          <w:p>
            <w:r>
              <w:rPr>
                <w:rFonts w:ascii="Arial" w:hAnsi="Arial"/>
                <w:b/>
                <w:color w:val="FFFFFF"/>
                <w:sz w:val="18"/>
              </w:rPr>
              <w:t>Requirement</w:t>
            </w:r>
          </w:p>
        </w:tc>
      </w:tr>
      <w:tr>
        <w:tc>
          <w:tcPr>
            <w:tcW w:type="dxa" w:w="5112"/>
            <w:tcMar>
              <w:top w:w="90" w:type="dxa"/>
              <w:start w:w="100" w:type="dxa"/>
              <w:bottom w:w="90" w:type="dxa"/>
              <w:end w:w="100" w:type="dxa"/>
            </w:tcMar>
            <w:vAlign w:val="center"/>
          </w:tcPr>
          <w:p>
            <w:pPr>
              <w:spacing w:after="0"/>
            </w:pPr>
            <w:r>
              <w:rPr>
                <w:rFonts w:ascii="Arial" w:hAnsi="Arial"/>
                <w:sz w:val="17"/>
              </w:rPr>
              <w:t>TLS</w:t>
            </w:r>
          </w:p>
        </w:tc>
        <w:tc>
          <w:tcPr>
            <w:tcW w:type="dxa" w:w="5112"/>
            <w:tcMar>
              <w:top w:w="90" w:type="dxa"/>
              <w:start w:w="100" w:type="dxa"/>
              <w:bottom w:w="90" w:type="dxa"/>
              <w:end w:w="100" w:type="dxa"/>
            </w:tcMar>
            <w:vAlign w:val="center"/>
          </w:tcPr>
          <w:p>
            <w:pPr>
              <w:spacing w:after="0"/>
            </w:pPr>
            <w:r>
              <w:rPr>
                <w:rFonts w:ascii="Arial" w:hAnsi="Arial"/>
                <w:sz w:val="17"/>
              </w:rPr>
              <w:t>TLS 1.2+ over HTTPS, automatic certificate renewal, HTTP-to-HTTPS redirect, secure cookies and HSTS enabled after certificate verification.</w:t>
            </w:r>
          </w:p>
        </w:tc>
      </w:tr>
      <w:tr>
        <w:tc>
          <w:tcPr>
            <w:tcW w:type="dxa" w:w="5112"/>
            <w:shd w:fill="F2F4F5"/>
            <w:tcMar>
              <w:top w:w="90" w:type="dxa"/>
              <w:start w:w="100" w:type="dxa"/>
              <w:bottom w:w="90" w:type="dxa"/>
              <w:end w:w="100" w:type="dxa"/>
            </w:tcMar>
            <w:vAlign w:val="center"/>
          </w:tcPr>
          <w:p>
            <w:pPr>
              <w:spacing w:after="0"/>
            </w:pPr>
            <w:r>
              <w:rPr>
                <w:rFonts w:ascii="Arial" w:hAnsi="Arial"/>
                <w:sz w:val="17"/>
              </w:rPr>
              <w:t>Access</w:t>
            </w:r>
          </w:p>
        </w:tc>
        <w:tc>
          <w:tcPr>
            <w:tcW w:type="dxa" w:w="5112"/>
            <w:shd w:fill="F2F4F5"/>
            <w:tcMar>
              <w:top w:w="90" w:type="dxa"/>
              <w:start w:w="100" w:type="dxa"/>
              <w:bottom w:w="90" w:type="dxa"/>
              <w:end w:w="100" w:type="dxa"/>
            </w:tcMar>
            <w:vAlign w:val="center"/>
          </w:tcPr>
          <w:p>
            <w:pPr>
              <w:spacing w:after="0"/>
            </w:pPr>
            <w:r>
              <w:rPr>
                <w:rFonts w:ascii="Arial" w:hAnsi="Arial"/>
                <w:sz w:val="17"/>
              </w:rPr>
              <w:t>SSH key authentication only; no password login. Named administrative access and a documented offboarding procedure.</w:t>
            </w:r>
          </w:p>
        </w:tc>
      </w:tr>
      <w:tr>
        <w:tc>
          <w:tcPr>
            <w:tcW w:type="dxa" w:w="5112"/>
            <w:tcMar>
              <w:top w:w="90" w:type="dxa"/>
              <w:start w:w="100" w:type="dxa"/>
              <w:bottom w:w="90" w:type="dxa"/>
              <w:end w:w="100" w:type="dxa"/>
            </w:tcMar>
            <w:vAlign w:val="center"/>
          </w:tcPr>
          <w:p>
            <w:pPr>
              <w:spacing w:after="0"/>
            </w:pPr>
            <w:r>
              <w:rPr>
                <w:rFonts w:ascii="Arial" w:hAnsi="Arial"/>
                <w:sz w:val="17"/>
              </w:rPr>
              <w:t>Firewall</w:t>
            </w:r>
          </w:p>
        </w:tc>
        <w:tc>
          <w:tcPr>
            <w:tcW w:type="dxa" w:w="5112"/>
            <w:tcMar>
              <w:top w:w="90" w:type="dxa"/>
              <w:start w:w="100" w:type="dxa"/>
              <w:bottom w:w="90" w:type="dxa"/>
              <w:end w:w="100" w:type="dxa"/>
            </w:tcMar>
            <w:vAlign w:val="center"/>
          </w:tcPr>
          <w:p>
            <w:pPr>
              <w:spacing w:after="0"/>
            </w:pPr>
            <w:r>
              <w:rPr>
                <w:rFonts w:ascii="Arial" w:hAnsi="Arial"/>
                <w:sz w:val="17"/>
              </w:rPr>
              <w:t>Inbound: 80/443 public; 22 restricted where possible. PostgreSQL and Docker service ports must not be publicly exposed.</w:t>
            </w:r>
          </w:p>
        </w:tc>
      </w:tr>
      <w:tr>
        <w:tc>
          <w:tcPr>
            <w:tcW w:type="dxa" w:w="5112"/>
            <w:shd w:fill="F2F4F5"/>
            <w:tcMar>
              <w:top w:w="90" w:type="dxa"/>
              <w:start w:w="100" w:type="dxa"/>
              <w:bottom w:w="90" w:type="dxa"/>
              <w:end w:w="100" w:type="dxa"/>
            </w:tcMar>
            <w:vAlign w:val="center"/>
          </w:tcPr>
          <w:p>
            <w:pPr>
              <w:spacing w:after="0"/>
            </w:pPr>
            <w:r>
              <w:rPr>
                <w:rFonts w:ascii="Arial" w:hAnsi="Arial"/>
                <w:sz w:val="17"/>
              </w:rPr>
              <w:t>Secrets</w:t>
            </w:r>
          </w:p>
        </w:tc>
        <w:tc>
          <w:tcPr>
            <w:tcW w:type="dxa" w:w="5112"/>
            <w:shd w:fill="F2F4F5"/>
            <w:tcMar>
              <w:top w:w="90" w:type="dxa"/>
              <w:start w:w="100" w:type="dxa"/>
              <w:bottom w:w="90" w:type="dxa"/>
              <w:end w:w="100" w:type="dxa"/>
            </w:tcMar>
            <w:vAlign w:val="center"/>
          </w:tcPr>
          <w:p>
            <w:pPr>
              <w:spacing w:after="0"/>
            </w:pPr>
            <w:r>
              <w:rPr>
                <w:rFonts w:ascii="Arial" w:hAnsi="Arial"/>
                <w:sz w:val="17"/>
              </w:rPr>
              <w:t>Production secrets only in an ignored server-side environment file/private secret directory. Never in Git, tickets, chat, screenshots or container images.</w:t>
            </w:r>
          </w:p>
        </w:tc>
      </w:tr>
      <w:tr>
        <w:tc>
          <w:tcPr>
            <w:tcW w:type="dxa" w:w="5112"/>
            <w:tcMar>
              <w:top w:w="90" w:type="dxa"/>
              <w:start w:w="100" w:type="dxa"/>
              <w:bottom w:w="90" w:type="dxa"/>
              <w:end w:w="100" w:type="dxa"/>
            </w:tcMar>
            <w:vAlign w:val="center"/>
          </w:tcPr>
          <w:p>
            <w:pPr>
              <w:spacing w:after="0"/>
            </w:pPr>
            <w:r>
              <w:rPr>
                <w:rFonts w:ascii="Arial" w:hAnsi="Arial"/>
                <w:sz w:val="17"/>
              </w:rPr>
              <w:t>Database</w:t>
            </w:r>
          </w:p>
        </w:tc>
        <w:tc>
          <w:tcPr>
            <w:tcW w:type="dxa" w:w="5112"/>
            <w:tcMar>
              <w:top w:w="90" w:type="dxa"/>
              <w:start w:w="100" w:type="dxa"/>
              <w:bottom w:w="90" w:type="dxa"/>
              <w:end w:w="100" w:type="dxa"/>
            </w:tcMar>
            <w:vAlign w:val="center"/>
          </w:tcPr>
          <w:p>
            <w:pPr>
              <w:spacing w:after="0"/>
            </w:pPr>
            <w:r>
              <w:rPr>
                <w:rFonts w:ascii="Arial" w:hAnsi="Arial"/>
                <w:sz w:val="17"/>
              </w:rPr>
              <w:t>Use the restricted LedgerHouse runtime database role after migration, not a PostgreSQL superuser. Back up daily and test restoration.</w:t>
            </w:r>
          </w:p>
        </w:tc>
      </w:tr>
      <w:tr>
        <w:tc>
          <w:tcPr>
            <w:tcW w:type="dxa" w:w="5112"/>
            <w:shd w:fill="F2F4F5"/>
            <w:tcMar>
              <w:top w:w="90" w:type="dxa"/>
              <w:start w:w="100" w:type="dxa"/>
              <w:bottom w:w="90" w:type="dxa"/>
              <w:end w:w="100" w:type="dxa"/>
            </w:tcMar>
            <w:vAlign w:val="center"/>
          </w:tcPr>
          <w:p>
            <w:pPr>
              <w:spacing w:after="0"/>
            </w:pPr>
            <w:r>
              <w:rPr>
                <w:rFonts w:ascii="Arial" w:hAnsi="Arial"/>
                <w:sz w:val="17"/>
              </w:rPr>
              <w:t>Monitoring</w:t>
            </w:r>
          </w:p>
        </w:tc>
        <w:tc>
          <w:tcPr>
            <w:tcW w:type="dxa" w:w="5112"/>
            <w:shd w:fill="F2F4F5"/>
            <w:tcMar>
              <w:top w:w="90" w:type="dxa"/>
              <w:start w:w="100" w:type="dxa"/>
              <w:bottom w:w="90" w:type="dxa"/>
              <w:end w:w="100" w:type="dxa"/>
            </w:tcMar>
            <w:vAlign w:val="center"/>
          </w:tcPr>
          <w:p>
            <w:pPr>
              <w:spacing w:after="0"/>
            </w:pPr>
            <w:r>
              <w:rPr>
                <w:rFonts w:ascii="Arial" w:hAnsi="Arial"/>
                <w:sz w:val="17"/>
              </w:rPr>
              <w:t>Monitor host resource use, Docker container health, HTTPS certificate status, disk space, database backup success and `/healthz/`. Alert the operations contact on failure.</w:t>
            </w:r>
          </w:p>
        </w:tc>
      </w:tr>
      <w:tr>
        <w:tc>
          <w:tcPr>
            <w:tcW w:type="dxa" w:w="5112"/>
            <w:tcMar>
              <w:top w:w="90" w:type="dxa"/>
              <w:start w:w="100" w:type="dxa"/>
              <w:bottom w:w="90" w:type="dxa"/>
              <w:end w:w="100" w:type="dxa"/>
            </w:tcMar>
            <w:vAlign w:val="center"/>
          </w:tcPr>
          <w:p>
            <w:pPr>
              <w:spacing w:after="0"/>
            </w:pPr>
            <w:r>
              <w:rPr>
                <w:rFonts w:ascii="Arial" w:hAnsi="Arial"/>
                <w:sz w:val="17"/>
              </w:rPr>
              <w:t>Logging</w:t>
            </w:r>
          </w:p>
        </w:tc>
        <w:tc>
          <w:tcPr>
            <w:tcW w:type="dxa" w:w="5112"/>
            <w:tcMar>
              <w:top w:w="90" w:type="dxa"/>
              <w:start w:w="100" w:type="dxa"/>
              <w:bottom w:w="90" w:type="dxa"/>
              <w:end w:w="100" w:type="dxa"/>
            </w:tcMar>
            <w:vAlign w:val="center"/>
          </w:tcPr>
          <w:p>
            <w:pPr>
              <w:spacing w:after="0"/>
            </w:pPr>
            <w:r>
              <w:rPr>
                <w:rFonts w:ascii="Arial" w:hAnsi="Arial"/>
                <w:sz w:val="17"/>
              </w:rPr>
              <w:t>Retain application and access logs for investigation without logging passwords, credentials, tokens or client financial documents.</w:t>
            </w:r>
          </w:p>
        </w:tc>
      </w:tr>
      <w:tr>
        <w:tc>
          <w:tcPr>
            <w:tcW w:type="dxa" w:w="5112"/>
            <w:shd w:fill="F2F4F5"/>
            <w:tcMar>
              <w:top w:w="90" w:type="dxa"/>
              <w:start w:w="100" w:type="dxa"/>
              <w:bottom w:w="90" w:type="dxa"/>
              <w:end w:w="100" w:type="dxa"/>
            </w:tcMar>
            <w:vAlign w:val="center"/>
          </w:tcPr>
          <w:p>
            <w:pPr>
              <w:spacing w:after="0"/>
            </w:pPr>
            <w:r>
              <w:rPr>
                <w:rFonts w:ascii="Arial" w:hAnsi="Arial"/>
                <w:sz w:val="17"/>
              </w:rPr>
              <w:t>Patch management</w:t>
            </w:r>
          </w:p>
        </w:tc>
        <w:tc>
          <w:tcPr>
            <w:tcW w:type="dxa" w:w="5112"/>
            <w:shd w:fill="F2F4F5"/>
            <w:tcMar>
              <w:top w:w="90" w:type="dxa"/>
              <w:start w:w="100" w:type="dxa"/>
              <w:bottom w:w="90" w:type="dxa"/>
              <w:end w:w="100" w:type="dxa"/>
            </w:tcMar>
            <w:vAlign w:val="center"/>
          </w:tcPr>
          <w:p>
            <w:pPr>
              <w:spacing w:after="0"/>
            </w:pPr>
            <w:r>
              <w:rPr>
                <w:rFonts w:ascii="Arial" w:hAnsi="Arial"/>
                <w:sz w:val="17"/>
              </w:rPr>
              <w:t>Apply unattended security updates and scheduled maintenance/reboots. Notify the owner of material host incidents or planned disruptive maintenance.</w:t>
            </w:r>
          </w:p>
        </w:tc>
      </w:tr>
    </w:tbl>
    <w:p/>
    <w:p>
      <w:pPr>
        <w:pStyle w:val="Heading1"/>
        <w:spacing w:before="240" w:after="100"/>
      </w:pPr>
      <w:r>
        <w:rPr>
          <w:rFonts w:ascii="Arial" w:hAnsi="Arial"/>
          <w:color w:val="17324D"/>
        </w:rPr>
        <w:t>8. Go-Live Work Plan</w:t>
      </w:r>
    </w:p>
    <w:p>
      <w:pPr>
        <w:pStyle w:val="ListNumber"/>
        <w:spacing w:after="60"/>
      </w:pPr>
      <w:r>
        <w:rPr>
          <w:rFonts w:ascii="Arial" w:hAnsi="Arial"/>
          <w:sz w:val="18"/>
        </w:rPr>
        <w:t>Provision the VPS, provide its static IPv4, SSH-key access and data-centre/backup details.</w:t>
      </w:r>
    </w:p>
    <w:p>
      <w:pPr>
        <w:pStyle w:val="ListNumber"/>
        <w:spacing w:after="60"/>
      </w:pPr>
      <w:r>
        <w:rPr>
          <w:rFonts w:ascii="Arial" w:hAnsi="Arial"/>
          <w:sz w:val="18"/>
        </w:rPr>
        <w:t>Create the DNS A record for `ledgerhouse.finaccord.pro` and allow it to propagate.</w:t>
      </w:r>
    </w:p>
    <w:p>
      <w:pPr>
        <w:pStyle w:val="ListNumber"/>
        <w:spacing w:after="60"/>
      </w:pPr>
      <w:r>
        <w:rPr>
          <w:rFonts w:ascii="Arial" w:hAnsi="Arial"/>
          <w:sz w:val="18"/>
        </w:rPr>
        <w:t>Install or confirm Ubuntu 24.04 LTS, Docker Engine, Docker Compose v2, Caddy, UFW, fail2ban and unattended security updates.</w:t>
      </w:r>
    </w:p>
    <w:p>
      <w:pPr>
        <w:pStyle w:val="ListNumber"/>
        <w:spacing w:after="60"/>
      </w:pPr>
      <w:r>
        <w:rPr>
          <w:rFonts w:ascii="Arial" w:hAnsi="Arial"/>
          <w:sz w:val="18"/>
        </w:rPr>
        <w:t>Deploy the LedgerHouse code to the private application directory and create the production environment file and private secret directory with owner-only permissions.</w:t>
      </w:r>
    </w:p>
    <w:p>
      <w:pPr>
        <w:pStyle w:val="ListNumber"/>
        <w:spacing w:after="60"/>
      </w:pPr>
      <w:r>
        <w:rPr>
          <w:rFonts w:ascii="Arial" w:hAnsi="Arial"/>
          <w:sz w:val="18"/>
        </w:rPr>
        <w:t>Start PostgreSQL and LedgerHouse with the production Docker Compose file; apply migrations using the schema-owner connection; then configure the restricted runtime database role.</w:t>
      </w:r>
    </w:p>
    <w:p>
      <w:pPr>
        <w:pStyle w:val="ListNumber"/>
        <w:spacing w:after="60"/>
      </w:pPr>
      <w:r>
        <w:rPr>
          <w:rFonts w:ascii="Arial" w:hAnsi="Arial"/>
          <w:sz w:val="18"/>
        </w:rPr>
        <w:t>Configure Caddy for `ledgerhouse.finaccord.pro`, validate the configuration and verify an issued HTTPS certificate.</w:t>
      </w:r>
    </w:p>
    <w:p>
      <w:pPr>
        <w:pStyle w:val="ListNumber"/>
        <w:spacing w:after="60"/>
      </w:pPr>
      <w:r>
        <w:rPr>
          <w:rFonts w:ascii="Arial" w:hAnsi="Arial"/>
          <w:sz w:val="18"/>
        </w:rPr>
        <w:t>Set up daily off-host database backup, retain a defined restore window and complete one documented restoration test before onboarding live clients.</w:t>
      </w:r>
    </w:p>
    <w:p>
      <w:pPr>
        <w:pStyle w:val="ListNumber"/>
        <w:spacing w:after="60"/>
      </w:pPr>
      <w:r>
        <w:rPr>
          <w:rFonts w:ascii="Arial" w:hAnsi="Arial"/>
          <w:sz w:val="18"/>
        </w:rPr>
        <w:t>Run the production smoke checks: database health, `/healthz/`, sign-in, client portal, practice workflow, uploads, reporting, audit logging and negative-access checks.</w:t>
      </w:r>
    </w:p>
    <w:p>
      <w:pPr>
        <w:pStyle w:val="ListNumber"/>
        <w:spacing w:after="60"/>
      </w:pPr>
      <w:r>
        <w:rPr>
          <w:rFonts w:ascii="Arial" w:hAnsi="Arial"/>
          <w:sz w:val="18"/>
        </w:rPr>
        <w:t>Keep government filing transmission disabled until the deployment is verified and each client has supplied the necessary authority and approval. No testing is performed in the live Companies House service.</w:t>
      </w:r>
    </w:p>
    <w:p>
      <w:pPr>
        <w:pStyle w:val="Heading1"/>
        <w:spacing w:before="240" w:after="100"/>
      </w:pPr>
      <w:r>
        <w:rPr>
          <w:rFonts w:ascii="Arial" w:hAnsi="Arial"/>
          <w:color w:val="17324D"/>
        </w:rPr>
        <w:t>9. Provider Acceptance Checklist</w:t>
      </w:r>
    </w:p>
    <w:tbl>
      <w:tblPr>
        <w:tblStyle w:val="TableGrid"/>
        <w:tblW w:type="auto" w:w="0"/>
        <w:jc w:val="left"/>
        <w:tblLayout w:type="fixed"/>
        <w:tblLook w:firstColumn="1" w:firstRow="1" w:lastColumn="0" w:lastRow="0" w:noHBand="0" w:noVBand="1" w:val="04A0"/>
      </w:tblPr>
      <w:tblGrid>
        <w:gridCol w:w="5112"/>
        <w:gridCol w:w="5112"/>
      </w:tblGrid>
      <w:tr>
        <w:trPr>
          <w:tblHeader w:val="true"/>
        </w:trPr>
        <w:tc>
          <w:tcPr>
            <w:tcW w:type="dxa" w:w="2951"/>
            <w:shd w:fill="17324D"/>
            <w:tcMar>
              <w:top w:w="90" w:type="dxa"/>
              <w:start w:w="100" w:type="dxa"/>
              <w:bottom w:w="90" w:type="dxa"/>
              <w:end w:w="100" w:type="dxa"/>
            </w:tcMar>
            <w:vAlign w:val="center"/>
          </w:tcPr>
          <w:p>
            <w:r>
              <w:rPr>
                <w:rFonts w:ascii="Arial" w:hAnsi="Arial"/>
                <w:b/>
                <w:color w:val="FFFFFF"/>
                <w:sz w:val="18"/>
              </w:rPr>
              <w:t>Acceptance item</w:t>
            </w:r>
          </w:p>
        </w:tc>
        <w:tc>
          <w:tcPr>
            <w:tcW w:type="dxa" w:w="7343"/>
            <w:shd w:fill="17324D"/>
            <w:tcMar>
              <w:top w:w="90" w:type="dxa"/>
              <w:start w:w="100" w:type="dxa"/>
              <w:bottom w:w="90" w:type="dxa"/>
              <w:end w:w="100" w:type="dxa"/>
            </w:tcMar>
            <w:vAlign w:val="center"/>
          </w:tcPr>
          <w:p>
            <w:r>
              <w:rPr>
                <w:rFonts w:ascii="Arial" w:hAnsi="Arial"/>
                <w:b/>
                <w:color w:val="FFFFFF"/>
                <w:sz w:val="18"/>
              </w:rPr>
              <w:t>Evidence requested</w:t>
            </w:r>
          </w:p>
        </w:tc>
      </w:tr>
      <w:tr>
        <w:tc>
          <w:tcPr>
            <w:tcW w:type="dxa" w:w="5112"/>
            <w:tcMar>
              <w:top w:w="90" w:type="dxa"/>
              <w:start w:w="100" w:type="dxa"/>
              <w:bottom w:w="90" w:type="dxa"/>
              <w:end w:w="100" w:type="dxa"/>
            </w:tcMar>
            <w:vAlign w:val="center"/>
          </w:tcPr>
          <w:p>
            <w:pPr>
              <w:spacing w:after="0"/>
            </w:pPr>
            <w:r>
              <w:rPr>
                <w:rFonts w:ascii="Arial" w:hAnsi="Arial"/>
                <w:sz w:val="17"/>
              </w:rPr>
              <w:t>Server provisioned</w:t>
            </w:r>
          </w:p>
        </w:tc>
        <w:tc>
          <w:tcPr>
            <w:tcW w:type="dxa" w:w="5112"/>
            <w:tcMar>
              <w:top w:w="90" w:type="dxa"/>
              <w:start w:w="100" w:type="dxa"/>
              <w:bottom w:w="90" w:type="dxa"/>
              <w:end w:w="100" w:type="dxa"/>
            </w:tcMar>
            <w:vAlign w:val="center"/>
          </w:tcPr>
          <w:p>
            <w:pPr>
              <w:spacing w:after="0"/>
            </w:pPr>
            <w:r>
              <w:rPr>
                <w:rFonts w:ascii="Arial" w:hAnsi="Arial"/>
                <w:sz w:val="17"/>
              </w:rPr>
              <w:t>Hostname, static IP, operating-system version, CPU/RAM/storage and data-centre location.</w:t>
            </w:r>
          </w:p>
        </w:tc>
      </w:tr>
      <w:tr>
        <w:tc>
          <w:tcPr>
            <w:tcW w:type="dxa" w:w="5112"/>
            <w:shd w:fill="F2F4F5"/>
            <w:tcMar>
              <w:top w:w="90" w:type="dxa"/>
              <w:start w:w="100" w:type="dxa"/>
              <w:bottom w:w="90" w:type="dxa"/>
              <w:end w:w="100" w:type="dxa"/>
            </w:tcMar>
            <w:vAlign w:val="center"/>
          </w:tcPr>
          <w:p>
            <w:pPr>
              <w:spacing w:after="0"/>
            </w:pPr>
            <w:r>
              <w:rPr>
                <w:rFonts w:ascii="Arial" w:hAnsi="Arial"/>
                <w:sz w:val="17"/>
              </w:rPr>
              <w:t>Administrative access</w:t>
            </w:r>
          </w:p>
        </w:tc>
        <w:tc>
          <w:tcPr>
            <w:tcW w:type="dxa" w:w="5112"/>
            <w:shd w:fill="F2F4F5"/>
            <w:tcMar>
              <w:top w:w="90" w:type="dxa"/>
              <w:start w:w="100" w:type="dxa"/>
              <w:bottom w:w="90" w:type="dxa"/>
              <w:end w:w="100" w:type="dxa"/>
            </w:tcMar>
            <w:vAlign w:val="center"/>
          </w:tcPr>
          <w:p>
            <w:pPr>
              <w:spacing w:after="0"/>
            </w:pPr>
            <w:r>
              <w:rPr>
                <w:rFonts w:ascii="Arial" w:hAnsi="Arial"/>
                <w:sz w:val="17"/>
              </w:rPr>
              <w:t>SSH key access confirmed; password login disabled or capable of being disabled.</w:t>
            </w:r>
          </w:p>
        </w:tc>
      </w:tr>
      <w:tr>
        <w:tc>
          <w:tcPr>
            <w:tcW w:type="dxa" w:w="5112"/>
            <w:tcMar>
              <w:top w:w="90" w:type="dxa"/>
              <w:start w:w="100" w:type="dxa"/>
              <w:bottom w:w="90" w:type="dxa"/>
              <w:end w:w="100" w:type="dxa"/>
            </w:tcMar>
            <w:vAlign w:val="center"/>
          </w:tcPr>
          <w:p>
            <w:pPr>
              <w:spacing w:after="0"/>
            </w:pPr>
            <w:r>
              <w:rPr>
                <w:rFonts w:ascii="Arial" w:hAnsi="Arial"/>
                <w:sz w:val="17"/>
              </w:rPr>
              <w:t>Firewall</w:t>
            </w:r>
          </w:p>
        </w:tc>
        <w:tc>
          <w:tcPr>
            <w:tcW w:type="dxa" w:w="5112"/>
            <w:tcMar>
              <w:top w:w="90" w:type="dxa"/>
              <w:start w:w="100" w:type="dxa"/>
              <w:bottom w:w="90" w:type="dxa"/>
              <w:end w:w="100" w:type="dxa"/>
            </w:tcMar>
            <w:vAlign w:val="center"/>
          </w:tcPr>
          <w:p>
            <w:pPr>
              <w:spacing w:after="0"/>
            </w:pPr>
            <w:r>
              <w:rPr>
                <w:rFonts w:ascii="Arial" w:hAnsi="Arial"/>
                <w:sz w:val="17"/>
              </w:rPr>
              <w:t>Inbound-rule list showing only permitted services; no public PostgreSQL port.</w:t>
            </w:r>
          </w:p>
        </w:tc>
      </w:tr>
      <w:tr>
        <w:tc>
          <w:tcPr>
            <w:tcW w:type="dxa" w:w="5112"/>
            <w:shd w:fill="F2F4F5"/>
            <w:tcMar>
              <w:top w:w="90" w:type="dxa"/>
              <w:start w:w="100" w:type="dxa"/>
              <w:bottom w:w="90" w:type="dxa"/>
              <w:end w:w="100" w:type="dxa"/>
            </w:tcMar>
            <w:vAlign w:val="center"/>
          </w:tcPr>
          <w:p>
            <w:pPr>
              <w:spacing w:after="0"/>
            </w:pPr>
            <w:r>
              <w:rPr>
                <w:rFonts w:ascii="Arial" w:hAnsi="Arial"/>
                <w:sz w:val="17"/>
              </w:rPr>
              <w:t>Docker support</w:t>
            </w:r>
          </w:p>
        </w:tc>
        <w:tc>
          <w:tcPr>
            <w:tcW w:type="dxa" w:w="5112"/>
            <w:shd w:fill="F2F4F5"/>
            <w:tcMar>
              <w:top w:w="90" w:type="dxa"/>
              <w:start w:w="100" w:type="dxa"/>
              <w:bottom w:w="90" w:type="dxa"/>
              <w:end w:w="100" w:type="dxa"/>
            </w:tcMar>
            <w:vAlign w:val="center"/>
          </w:tcPr>
          <w:p>
            <w:pPr>
              <w:spacing w:after="0"/>
            </w:pPr>
            <w:r>
              <w:rPr>
                <w:rFonts w:ascii="Arial" w:hAnsi="Arial"/>
                <w:sz w:val="17"/>
              </w:rPr>
              <w:t>Docker Engine and Compose v2 installed or permission confirmed to install and operate them.</w:t>
            </w:r>
          </w:p>
        </w:tc>
      </w:tr>
      <w:tr>
        <w:tc>
          <w:tcPr>
            <w:tcW w:type="dxa" w:w="5112"/>
            <w:tcMar>
              <w:top w:w="90" w:type="dxa"/>
              <w:start w:w="100" w:type="dxa"/>
              <w:bottom w:w="90" w:type="dxa"/>
              <w:end w:w="100" w:type="dxa"/>
            </w:tcMar>
            <w:vAlign w:val="center"/>
          </w:tcPr>
          <w:p>
            <w:pPr>
              <w:spacing w:after="0"/>
            </w:pPr>
            <w:r>
              <w:rPr>
                <w:rFonts w:ascii="Arial" w:hAnsi="Arial"/>
                <w:sz w:val="17"/>
              </w:rPr>
              <w:t>Persistent storage</w:t>
            </w:r>
          </w:p>
        </w:tc>
        <w:tc>
          <w:tcPr>
            <w:tcW w:type="dxa" w:w="5112"/>
            <w:tcMar>
              <w:top w:w="90" w:type="dxa"/>
              <w:start w:w="100" w:type="dxa"/>
              <w:bottom w:w="90" w:type="dxa"/>
              <w:end w:w="100" w:type="dxa"/>
            </w:tcMar>
            <w:vAlign w:val="center"/>
          </w:tcPr>
          <w:p>
            <w:pPr>
              <w:spacing w:after="0"/>
            </w:pPr>
            <w:r>
              <w:rPr>
                <w:rFonts w:ascii="Arial" w:hAnsi="Arial"/>
                <w:sz w:val="17"/>
              </w:rPr>
              <w:t>Confirmation of durable storage and how disk expansion is requested.</w:t>
            </w:r>
          </w:p>
        </w:tc>
      </w:tr>
      <w:tr>
        <w:tc>
          <w:tcPr>
            <w:tcW w:type="dxa" w:w="5112"/>
            <w:shd w:fill="F2F4F5"/>
            <w:tcMar>
              <w:top w:w="90" w:type="dxa"/>
              <w:start w:w="100" w:type="dxa"/>
              <w:bottom w:w="90" w:type="dxa"/>
              <w:end w:w="100" w:type="dxa"/>
            </w:tcMar>
            <w:vAlign w:val="center"/>
          </w:tcPr>
          <w:p>
            <w:pPr>
              <w:spacing w:after="0"/>
            </w:pPr>
            <w:r>
              <w:rPr>
                <w:rFonts w:ascii="Arial" w:hAnsi="Arial"/>
                <w:sz w:val="17"/>
              </w:rPr>
              <w:t>Backup service</w:t>
            </w:r>
          </w:p>
        </w:tc>
        <w:tc>
          <w:tcPr>
            <w:tcW w:type="dxa" w:w="5112"/>
            <w:shd w:fill="F2F4F5"/>
            <w:tcMar>
              <w:top w:w="90" w:type="dxa"/>
              <w:start w:w="100" w:type="dxa"/>
              <w:bottom w:w="90" w:type="dxa"/>
              <w:end w:w="100" w:type="dxa"/>
            </w:tcMar>
            <w:vAlign w:val="center"/>
          </w:tcPr>
          <w:p>
            <w:pPr>
              <w:spacing w:after="0"/>
            </w:pPr>
            <w:r>
              <w:rPr>
                <w:rFonts w:ascii="Arial" w:hAnsi="Arial"/>
                <w:sz w:val="17"/>
              </w:rPr>
              <w:t>Backup frequency, retention, encryption, storage location, restoration process, cost and any exclusions.</w:t>
            </w:r>
          </w:p>
        </w:tc>
      </w:tr>
      <w:tr>
        <w:tc>
          <w:tcPr>
            <w:tcW w:type="dxa" w:w="5112"/>
            <w:tcMar>
              <w:top w:w="90" w:type="dxa"/>
              <w:start w:w="100" w:type="dxa"/>
              <w:bottom w:w="90" w:type="dxa"/>
              <w:end w:w="100" w:type="dxa"/>
            </w:tcMar>
            <w:vAlign w:val="center"/>
          </w:tcPr>
          <w:p>
            <w:pPr>
              <w:spacing w:after="0"/>
            </w:pPr>
            <w:r>
              <w:rPr>
                <w:rFonts w:ascii="Arial" w:hAnsi="Arial"/>
                <w:sz w:val="17"/>
              </w:rPr>
              <w:t>Monitoring/support</w:t>
            </w:r>
          </w:p>
        </w:tc>
        <w:tc>
          <w:tcPr>
            <w:tcW w:type="dxa" w:w="5112"/>
            <w:tcMar>
              <w:top w:w="90" w:type="dxa"/>
              <w:start w:w="100" w:type="dxa"/>
              <w:bottom w:w="90" w:type="dxa"/>
              <w:end w:w="100" w:type="dxa"/>
            </w:tcMar>
            <w:vAlign w:val="center"/>
          </w:tcPr>
          <w:p>
            <w:pPr>
              <w:spacing w:after="0"/>
            </w:pPr>
            <w:r>
              <w:rPr>
                <w:rFonts w:ascii="Arial" w:hAnsi="Arial"/>
                <w:sz w:val="17"/>
              </w:rPr>
              <w:t>Monitoring coverage, alert route, support hours, incident response targets and maintenance policy.</w:t>
            </w:r>
          </w:p>
        </w:tc>
      </w:tr>
      <w:tr>
        <w:tc>
          <w:tcPr>
            <w:tcW w:type="dxa" w:w="5112"/>
            <w:shd w:fill="F2F4F5"/>
            <w:tcMar>
              <w:top w:w="90" w:type="dxa"/>
              <w:start w:w="100" w:type="dxa"/>
              <w:bottom w:w="90" w:type="dxa"/>
              <w:end w:w="100" w:type="dxa"/>
            </w:tcMar>
            <w:vAlign w:val="center"/>
          </w:tcPr>
          <w:p>
            <w:pPr>
              <w:spacing w:after="0"/>
            </w:pPr>
            <w:r>
              <w:rPr>
                <w:rFonts w:ascii="Arial" w:hAnsi="Arial"/>
                <w:sz w:val="17"/>
              </w:rPr>
              <w:t>Privacy terms</w:t>
            </w:r>
          </w:p>
        </w:tc>
        <w:tc>
          <w:tcPr>
            <w:tcW w:type="dxa" w:w="5112"/>
            <w:shd w:fill="F2F4F5"/>
            <w:tcMar>
              <w:top w:w="90" w:type="dxa"/>
              <w:start w:w="100" w:type="dxa"/>
              <w:bottom w:w="90" w:type="dxa"/>
              <w:end w:w="100" w:type="dxa"/>
            </w:tcMar>
            <w:vAlign w:val="center"/>
          </w:tcPr>
          <w:p>
            <w:pPr>
              <w:spacing w:after="0"/>
            </w:pPr>
            <w:r>
              <w:rPr>
                <w:rFonts w:ascii="Arial" w:hAnsi="Arial"/>
                <w:sz w:val="17"/>
              </w:rPr>
              <w:t>DPA, data-centre country, sub-processor list and breach/incident notification terms.</w:t>
            </w:r>
          </w:p>
        </w:tc>
      </w:tr>
    </w:tbl>
    <w:p/>
    <w:p>
      <w:pPr>
        <w:pStyle w:val="Heading1"/>
        <w:spacing w:before="240" w:after="100"/>
      </w:pPr>
      <w:r>
        <w:rPr>
          <w:rFonts w:ascii="Arial" w:hAnsi="Arial"/>
          <w:color w:val="17324D"/>
        </w:rPr>
        <w:t>10. Explicit Boundaries</w:t>
      </w:r>
    </w:p>
    <w:p>
      <w:pPr>
        <w:spacing w:after="100"/>
      </w:pPr>
      <w:r>
        <w:t>A server provider supplies secure infrastructure. It does not itself grant authority to submit filings or access client bank/tax data. The following remain controlled application or client actions:</w:t>
      </w:r>
    </w:p>
    <w:p>
      <w:pPr>
        <w:pStyle w:val="ListBullet"/>
        <w:spacing w:after="40"/>
      </w:pPr>
      <w:r>
        <w:rPr>
          <w:rFonts w:ascii="Arial" w:hAnsi="Arial"/>
          <w:sz w:val="18"/>
        </w:rPr>
        <w:t>HMRC production authorisation, user authority and API credentials.</w:t>
      </w:r>
    </w:p>
    <w:p>
      <w:pPr>
        <w:pStyle w:val="ListBullet"/>
        <w:spacing w:after="40"/>
      </w:pPr>
      <w:r>
        <w:rPr>
          <w:rFonts w:ascii="Arial" w:hAnsi="Arial"/>
          <w:sz w:val="18"/>
        </w:rPr>
        <w:t>Companies House live filing only for supported document types, using the approved LedgerHouse package and an authorised client filing. Live service is not a test environment.</w:t>
      </w:r>
    </w:p>
    <w:p>
      <w:pPr>
        <w:pStyle w:val="ListBullet"/>
        <w:spacing w:after="40"/>
      </w:pPr>
      <w:r>
        <w:rPr>
          <w:rFonts w:ascii="Arial" w:hAnsi="Arial"/>
          <w:sz w:val="18"/>
        </w:rPr>
        <w:t>Client Companies House authentication codes, client consent and final filing approval.</w:t>
      </w:r>
    </w:p>
    <w:p>
      <w:pPr>
        <w:pStyle w:val="ListBullet"/>
        <w:spacing w:after="40"/>
      </w:pPr>
      <w:r>
        <w:rPr>
          <w:rFonts w:ascii="Arial" w:hAnsi="Arial"/>
          <w:sz w:val="18"/>
        </w:rPr>
        <w:t>Bank-feed provider consent, payment-provider account setup, email-provider setup and other third-party credentials.</w:t>
      </w:r>
    </w:p>
    <w:p>
      <w:pPr>
        <w:pStyle w:val="ListBullet"/>
        <w:spacing w:after="40"/>
      </w:pPr>
      <w:r>
        <w:rPr>
          <w:rFonts w:ascii="Arial" w:hAnsi="Arial"/>
          <w:sz w:val="18"/>
        </w:rPr>
        <w:t>Legal, privacy and commercial terms review before broad public marketing or paid-client onboarding.</w:t>
      </w:r>
    </w:p>
    <w:p>
      <w:pPr>
        <w:pStyle w:val="Heading1"/>
        <w:spacing w:before="240" w:after="100"/>
      </w:pPr>
      <w:r>
        <w:rPr>
          <w:rFonts w:ascii="Arial" w:hAnsi="Arial"/>
          <w:color w:val="17324D"/>
        </w:rPr>
        <w:t>11. Request for Quotation</w:t>
      </w:r>
    </w:p>
    <w:p>
      <w:pPr>
        <w:spacing w:after="100"/>
      </w:pPr>
      <w:r>
        <w:t>Please respond with a quotation and confirmation against the following:</w:t>
      </w:r>
    </w:p>
    <w:p>
      <w:pPr>
        <w:pStyle w:val="ListBullet"/>
        <w:spacing w:after="40"/>
      </w:pPr>
      <w:r>
        <w:rPr>
          <w:rFonts w:ascii="Arial" w:hAnsi="Arial"/>
          <w:sz w:val="18"/>
        </w:rPr>
        <w:t>Monthly price for the recommended 4 vCPU / 8 GB RAM / 80 GB NVMe specification, including VAT and all recurring charges.</w:t>
      </w:r>
    </w:p>
    <w:p>
      <w:pPr>
        <w:pStyle w:val="ListBullet"/>
        <w:spacing w:after="40"/>
      </w:pPr>
      <w:r>
        <w:rPr>
          <w:rFonts w:ascii="Arial" w:hAnsi="Arial"/>
          <w:sz w:val="18"/>
        </w:rPr>
        <w:t>Separate cost for backups, snapshots, static IPv4, additional storage, bandwidth overages, managed support and server rebuilds.</w:t>
      </w:r>
    </w:p>
    <w:p>
      <w:pPr>
        <w:pStyle w:val="ListBullet"/>
        <w:spacing w:after="40"/>
      </w:pPr>
      <w:r>
        <w:rPr>
          <w:rFonts w:ascii="Arial" w:hAnsi="Arial"/>
          <w:sz w:val="18"/>
        </w:rPr>
        <w:t>Data-centre location, backup location and data-processing terms.</w:t>
      </w:r>
    </w:p>
    <w:p>
      <w:pPr>
        <w:pStyle w:val="ListBullet"/>
        <w:spacing w:after="40"/>
      </w:pPr>
      <w:r>
        <w:rPr>
          <w:rFonts w:ascii="Arial" w:hAnsi="Arial"/>
          <w:sz w:val="18"/>
        </w:rPr>
        <w:t>Whether root/administrator SSH access and Docker Compose are permitted.</w:t>
      </w:r>
    </w:p>
    <w:p>
      <w:pPr>
        <w:pStyle w:val="ListBullet"/>
        <w:spacing w:after="40"/>
      </w:pPr>
      <w:r>
        <w:rPr>
          <w:rFonts w:ascii="Arial" w:hAnsi="Arial"/>
          <w:sz w:val="18"/>
        </w:rPr>
        <w:t>Provisioning lead time and the exact information needed to create the server today.</w:t>
      </w:r>
    </w:p>
    <w:p>
      <w:pPr>
        <w:pStyle w:val="ListBullet"/>
        <w:spacing w:after="40"/>
      </w:pPr>
      <w:r>
        <w:rPr>
          <w:rFonts w:ascii="Arial" w:hAnsi="Arial"/>
          <w:sz w:val="18"/>
        </w:rPr>
        <w:t>The support route for an outage and the expected response times.</w:t>
      </w:r>
    </w:p>
    <w:p>
      <w:pPr>
        <w:pStyle w:val="Heading1"/>
        <w:spacing w:before="240" w:after="100"/>
      </w:pPr>
      <w:r>
        <w:rPr>
          <w:rFonts w:ascii="Arial" w:hAnsi="Arial"/>
          <w:color w:val="17324D"/>
        </w:rPr>
        <w:t>12. Implementation Contact</w:t>
      </w:r>
    </w:p>
    <w:p>
      <w:pPr>
        <w:spacing w:after="100"/>
      </w:pPr>
      <w:r>
        <w:t>Application: LedgerHouse, operated by KAFS Limited / KAFS Automation. Technical deployment will be performed by the LedgerHouse engineering team once the server, DNS and access details are available.</w:t>
      </w:r>
    </w:p>
    <w:p>
      <w:pPr>
        <w:spacing w:after="100"/>
      </w:pPr>
      <w:r>
        <w:t>This brief deliberately excludes passwords, API tokens, presenter credentials, database passwords and client data. Providers must not request those values through ordinary email or support tickets.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7080"/>
        <w:sz w:val="16"/>
      </w:rPr>
      <w:t>Confidential infrastructure request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47D8C"/>
        <w:sz w:val="16"/>
      </w:rPr>
      <w:t>LEDGERHOUSE | SERVER PROVIDER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D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7D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