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63.png" ContentType="image/png"/>
  <Override PartName="/word/media/rId35.png" ContentType="image/png"/>
  <Override PartName="/word/media/rId32.png" ContentType="image/png"/>
  <Override PartName="/word/media/rId57.png" ContentType="image/png"/>
  <Override PartName="/word/media/rId67.png" ContentType="image/png"/>
  <Override PartName="/word/media/rId39.png" ContentType="image/png"/>
  <Override PartName="/word/media/rId28.png" ContentType="image/png"/>
  <Override PartName="/word/media/rId80.png" ContentType="image/png"/>
  <Override PartName="/word/media/rId74.png" ContentType="image/png"/>
  <Override PartName="/word/media/rId7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w:t>
      </w:r>
      <w:r>
        <w:t xml:space="preserve"> </w:t>
      </w:r>
      <w:r>
        <w:t xml:space="preserve">DLCPD-25</w:t>
      </w:r>
      <w:r>
        <w:t xml:space="preserve"> </w:t>
      </w:r>
      <w:r>
        <w:t xml:space="preserve">数据集的农产品病虫害与缺陷分类目标检测系统</w:t>
      </w:r>
    </w:p>
    <w:p>
      <w:pPr>
        <w:pStyle w:val="Subtitle"/>
      </w:pPr>
      <w:r>
        <w:t xml:space="preserve">实验报告</w:t>
      </w:r>
    </w:p>
    <w:p>
      <w:pPr>
        <w:pStyle w:val="Author"/>
      </w:pPr>
      <w:r>
        <w:t xml:space="preserve">DLCPD-25</w:t>
      </w:r>
      <w:r>
        <w:t xml:space="preserve"> </w:t>
      </w:r>
      <w:r>
        <w:t xml:space="preserve">课程项目组</w:t>
      </w:r>
    </w:p>
    <w:p>
      <w:pPr>
        <w:pStyle w:val="Date"/>
      </w:pPr>
      <w:r>
        <w:t xml:space="preserve">2026-08-21</w:t>
      </w:r>
    </w:p>
    <w:bookmarkStart w:id="20" w:name="摘要"/>
    <w:p>
      <w:pPr>
        <w:pStyle w:val="Heading1"/>
      </w:pPr>
      <w:r>
        <w:t xml:space="preserve">摘要</w:t>
      </w:r>
    </w:p>
    <w:p>
      <w:pPr>
        <w:pStyle w:val="FirstParagraph"/>
      </w:pPr>
      <w:r>
        <w:t xml:space="preserve">本课题围绕农作物病虫害与生理缺陷智能识别问题，构建了一个</w:t>
      </w:r>
      <w:r>
        <w:rPr>
          <w:bCs/>
          <w:b/>
        </w:rPr>
        <w:t xml:space="preserve">分类与目标检测双任务系统</w:t>
      </w:r>
      <w:r>
        <w:t xml:space="preserve">。系统采用 Plan-A 双专家架构：分类专家使用 ConvNeXt-Tiny 在 384×384 输入下完成 DLCPD-25 数据集的 203 类细粒度图像分类；检测专家使用 ConvNeXt-Tiny-FPN 作为骨干、Faster R-CNN 作为检测头，在最长边 640 的输入下完成 IP102 数据集的 96 类农业害虫目标检测。系统配套实现了完整的数据工程、训练、验证、早停、测试集隔离评估、训练进度看板和 Web 应用。最终测试结果表明：分类模型 Top-1 达到 89.2240%、Top-5 达到 97.7366%、Macro-F1 达到 75.3537%；检测模型 mAP@0.5:0.95 达到 34.3449%、AP50 达到 59.6817%、Precision@0.5 达到 88.1562%。全部模型选择过程只使用训练集和验证集，官方测试集仅在配置冻结后评估一次，实验结果真实可复现。</w:t>
      </w:r>
    </w:p>
    <w:p>
      <w:pPr>
        <w:pStyle w:val="BodyText"/>
      </w:pPr>
      <w:r>
        <w:rPr>
          <w:bCs/>
          <w:b/>
        </w:rPr>
        <w:t xml:space="preserve">关键词</w:t>
      </w:r>
      <w:r>
        <w:t xml:space="preserve">：农作物病虫害识别；细粒度图像分类；目标检测；ConvNeXt；Faster R-CNN；长尾分布</w:t>
      </w:r>
    </w:p>
    <w:bookmarkEnd w:id="20"/>
    <w:bookmarkStart w:id="21" w:name="课题背景"/>
    <w:p>
      <w:pPr>
        <w:pStyle w:val="Heading1"/>
      </w:pPr>
      <w:r>
        <w:t xml:space="preserve">1 课题背景</w:t>
      </w:r>
    </w:p>
    <w:p>
      <w:pPr>
        <w:pStyle w:val="FirstParagraph"/>
      </w:pPr>
      <w:r>
        <w:t xml:space="preserve">农业生产中，病虫害和生理缺陷是造成作物减产和品质下降的重要原因。传统识别依赖植保专家人工巡查，存在成本高、响应慢、经验难以复制等问题。随着深度学习的发展，利用卷积神经网络对农作物叶片和田间图像进行自动识别已成为智慧农业的重要方向。</w:t>
      </w:r>
    </w:p>
    <w:p>
      <w:pPr>
        <w:pStyle w:val="BodyText"/>
      </w:pPr>
      <w:r>
        <w:t xml:space="preserve">DLCPD-25 是一个大规模农作物病虫害识别数据集，包含 203 个细粒度类别，覆盖 22 个宿主作物，并将标签划分为农业有害生物、植物病害、健康状态和非生物/生理缺陷四类。该数据集的类别数量多、类间差异小、类内差异大，且样本数量呈严重长尾分布，对图像分类模型提出了较高要求。</w:t>
      </w:r>
    </w:p>
    <w:p>
      <w:pPr>
        <w:pStyle w:val="BodyText"/>
      </w:pPr>
      <w:r>
        <w:t xml:space="preserve">IP102 是一个包含 102 个农业害虫类别的基准数据集。本课题使用其目标检测子集，将 97 个源标签映射为 96 个检测类别，并与 DLCPD-25 的公共类别编号对齐，用于完成害虫定位与识别。</w:t>
      </w:r>
    </w:p>
    <w:bookmarkEnd w:id="21"/>
    <w:bookmarkStart w:id="22" w:name="研究意义"/>
    <w:p>
      <w:pPr>
        <w:pStyle w:val="Heading1"/>
      </w:pPr>
      <w:r>
        <w:t xml:space="preserve">2 研究意义</w:t>
      </w:r>
    </w:p>
    <w:p>
      <w:pPr>
        <w:numPr>
          <w:ilvl w:val="0"/>
          <w:numId w:val="1001"/>
        </w:numPr>
        <w:pStyle w:val="Compact"/>
      </w:pPr>
      <w:r>
        <w:rPr>
          <w:bCs/>
          <w:b/>
        </w:rPr>
        <w:t xml:space="preserve">农业应用价值</w:t>
      </w:r>
      <w:r>
        <w:t xml:space="preserve">：将分类与检测集成在一个系统中，既能回答“图片中作物得了什么病/有什么虫”，也能回答“害虫在图片中哪个位置”，更接近实际巡检场景。</w:t>
      </w:r>
    </w:p>
    <w:p>
      <w:pPr>
        <w:numPr>
          <w:ilvl w:val="0"/>
          <w:numId w:val="1001"/>
        </w:numPr>
        <w:pStyle w:val="Compact"/>
      </w:pPr>
      <w:r>
        <w:rPr>
          <w:bCs/>
          <w:b/>
        </w:rPr>
        <w:t xml:space="preserve">长尾识别研究价值</w:t>
      </w:r>
      <w:r>
        <w:t xml:space="preserve">：DLCPD-25 单类样本量从 5 张到 10,619 张不等。本课题通过类别平衡采样、Focal Loss 和辅助层级监督，探索了长尾细粒度分类的有效策略。</w:t>
      </w:r>
    </w:p>
    <w:p>
      <w:pPr>
        <w:numPr>
          <w:ilvl w:val="0"/>
          <w:numId w:val="1001"/>
        </w:numPr>
        <w:pStyle w:val="Compact"/>
      </w:pPr>
      <w:r>
        <w:rPr>
          <w:bCs/>
          <w:b/>
        </w:rPr>
        <w:t xml:space="preserve">多任务系统工程价值</w:t>
      </w:r>
      <w:r>
        <w:t xml:space="preserve">：本课题采用双专家架构，分别优化分类与检测，再通过统一类别映射和 Web 服务融合输出，提供了可复现、可部署的工程范式。</w:t>
      </w:r>
    </w:p>
    <w:bookmarkEnd w:id="22"/>
    <w:bookmarkStart w:id="27" w:name="相关原理"/>
    <w:p>
      <w:pPr>
        <w:pStyle w:val="Heading1"/>
      </w:pPr>
      <w:r>
        <w:t xml:space="preserve">3 相关原理</w:t>
      </w:r>
    </w:p>
    <w:bookmarkStart w:id="23" w:name="convnext-卷积网络"/>
    <w:p>
      <w:pPr>
        <w:pStyle w:val="Heading2"/>
      </w:pPr>
      <w:r>
        <w:t xml:space="preserve">3.1 ConvNeXt 卷积网络</w:t>
      </w:r>
    </w:p>
    <w:p>
      <w:pPr>
        <w:pStyle w:val="FirstParagraph"/>
      </w:pPr>
      <w:r>
        <w:t xml:space="preserve">ConvNeXt 是对标准 ResNet 进行现代化改造得到的卷积网络。其核心计算单元由 7×7 Depthwise Convolution、LayerNorm、1×1 通道升维 Linear、GELU 激活、1×1 通道降维 Linear、Layer Scale 和 Stochastic Depth 组成，并通过残差连接将输入与变换结果相加。与 Transformer 类似，ConvNeXt 更少使用激活和归一化层，同时保留卷积的局部归纳偏置，训练稳定且精度较高。</w:t>
      </w:r>
    </w:p>
    <w:bookmarkEnd w:id="23"/>
    <w:bookmarkStart w:id="24" w:name="特征金字塔网络-fpn"/>
    <w:p>
      <w:pPr>
        <w:pStyle w:val="Heading2"/>
      </w:pPr>
      <w:r>
        <w:t xml:space="preserve">3.2 特征金字塔网络 FPN</w:t>
      </w:r>
    </w:p>
    <w:p>
      <w:pPr>
        <w:pStyle w:val="FirstParagraph"/>
      </w:pPr>
      <w:r>
        <w:t xml:space="preserve">FPN 将骨干网络不同 stride 的特征图通过自顶向下路径和横向连接融合，输出多尺度特征图。本课题将 ConvNeXt-Tiny 的 stride 4、8、16、32 特征输入 FPN，得到 P2~P6 五个尺度，每个尺度统一为 256 通道，从而同时保留高分辨率定位信息和低分辨率语义信息。</w:t>
      </w:r>
    </w:p>
    <w:bookmarkEnd w:id="24"/>
    <w:bookmarkStart w:id="25" w:name="faster-r-cnn-两阶段检测"/>
    <w:p>
      <w:pPr>
        <w:pStyle w:val="Heading2"/>
      </w:pPr>
      <w:r>
        <w:t xml:space="preserve">3.3 Faster R-CNN 两阶段检测</w:t>
      </w:r>
    </w:p>
    <w:p>
      <w:pPr>
        <w:pStyle w:val="FirstParagraph"/>
      </w:pPr>
      <w:r>
        <w:t xml:space="preserve">Faster R-CNN 将检测分解为两个阶段。第一阶段 RPN 在特征图每个位置设置多个 anchor，对每个 anchor 输出前景/背景分数和框回归偏移，再经 NMS 保留高质量候选框。第二阶段 RoIAlign 将候选框映射到固定尺寸特征，RoI Heads 对候选框进行类别预测和框位置精修。</w:t>
      </w:r>
    </w:p>
    <w:bookmarkEnd w:id="25"/>
    <w:bookmarkStart w:id="26" w:name="coco-评估指标"/>
    <w:p>
      <w:pPr>
        <w:pStyle w:val="Heading2"/>
      </w:pPr>
      <w:r>
        <w:t xml:space="preserve">3.4 COCO 评估指标</w:t>
      </w:r>
    </w:p>
    <w:p>
      <w:pPr>
        <w:pStyle w:val="FirstParagraph"/>
      </w:pPr>
      <w:r>
        <w:t xml:space="preserve">mAP@0.5:0.95 是目标检测的常用综合指标：IoU 阈值从 0.50 到 0.95 每 0.05 取一个，分别计算平均精度 AP 后取平均。AP50 和 AP75 分别表示 IoU 阈值为 0.5 和 0.75 时的平均精度。</w:t>
      </w:r>
    </w:p>
    <w:bookmarkEnd w:id="26"/>
    <w:bookmarkEnd w:id="27"/>
    <w:bookmarkStart w:id="43" w:name="算法与模型设计"/>
    <w:p>
      <w:pPr>
        <w:pStyle w:val="Heading1"/>
      </w:pPr>
      <w:r>
        <w:t xml:space="preserve">4 算法与模型设计</w:t>
      </w:r>
    </w:p>
    <w:bookmarkStart w:id="31" w:name="总体架构"/>
    <w:p>
      <w:pPr>
        <w:pStyle w:val="Heading2"/>
      </w:pPr>
      <w:r>
        <w:t xml:space="preserve">4.1 总体架构</w:t>
      </w:r>
    </w:p>
    <w:p>
      <w:pPr>
        <w:pStyle w:val="FirstParagraph"/>
      </w:pPr>
      <w:r>
        <w:t xml:space="preserve">系统采用 Plan-A 双专家架构，分类和检测独立训练、独立推理，推理层统一融合输出：</w:t>
      </w:r>
    </w:p>
    <w:p>
      <w:pPr>
        <w:pStyle w:val="CaptionedFigure"/>
      </w:pPr>
      <w:r>
        <w:drawing>
          <wp:inline>
            <wp:extent cx="5334000" cy="2730000"/>
            <wp:effectExtent b="0" l="0" r="0" t="0"/>
            <wp:docPr descr="Plan-A 总体架构" title="" id="29" name="Picture"/>
            <a:graphic>
              <a:graphicData uri="http://schemas.openxmlformats.org/drawingml/2006/picture">
                <pic:pic>
                  <pic:nvPicPr>
                    <pic:cNvPr descr="../results/figures/overview.png" id="30" name="Picture"/>
                    <pic:cNvPicPr>
                      <a:picLocks noChangeArrowheads="1" noChangeAspect="1"/>
                    </pic:cNvPicPr>
                  </pic:nvPicPr>
                  <pic:blipFill>
                    <a:blip r:embed="rId28"/>
                    <a:stretch>
                      <a:fillRect/>
                    </a:stretch>
                  </pic:blipFill>
                  <pic:spPr bwMode="auto">
                    <a:xfrm>
                      <a:off x="0" y="0"/>
                      <a:ext cx="5334000" cy="2730000"/>
                    </a:xfrm>
                    <a:prstGeom prst="rect">
                      <a:avLst/>
                    </a:prstGeom>
                    <a:noFill/>
                    <a:ln w="9525">
                      <a:noFill/>
                      <a:headEnd/>
                      <a:tailEnd/>
                    </a:ln>
                  </pic:spPr>
                </pic:pic>
              </a:graphicData>
            </a:graphic>
          </wp:inline>
        </w:drawing>
      </w:r>
    </w:p>
    <w:p>
      <w:pPr>
        <w:pStyle w:val="ImageCaption"/>
      </w:pPr>
      <w:r>
        <w:t xml:space="preserve">Plan-A 总体架构</w:t>
      </w:r>
    </w:p>
    <w:p>
      <w:pPr>
        <w:pStyle w:val="BodyText"/>
      </w:pPr>
      <w:r>
        <w:t xml:space="preserve">分类分支与检测分支不共享权重，避免两个任务在分辨率、采样和训练节奏上互相妥协。</w:t>
      </w:r>
    </w:p>
    <w:bookmarkEnd w:id="31"/>
    <w:bookmarkStart w:id="38" w:name="分类专家"/>
    <w:p>
      <w:pPr>
        <w:pStyle w:val="Heading2"/>
      </w:pPr>
      <w:r>
        <w:t xml:space="preserve">4.2 分类专家</w:t>
      </w:r>
    </w:p>
    <w:p>
      <w:pPr>
        <w:pStyle w:val="FirstParagraph"/>
      </w:pPr>
      <w:r>
        <w:t xml:space="preserve">分类专家输入为 384×384 RGB 图片，骨干为 ConvNeXt-Tiny。主干输出的 768 维特征分别送入三个头：</w:t>
      </w:r>
    </w:p>
    <w:p>
      <w:pPr>
        <w:numPr>
          <w:ilvl w:val="0"/>
          <w:numId w:val="1002"/>
        </w:numPr>
        <w:pStyle w:val="Compact"/>
      </w:pPr>
      <w:r>
        <w:t xml:space="preserve">主分类头：</w:t>
      </w:r>
      <w:r>
        <w:rPr>
          <w:rStyle w:val="VerbatimChar"/>
        </w:rPr>
        <w:t xml:space="preserve">Linear(768, 203)</w:t>
      </w:r>
      <w:r>
        <w:t xml:space="preserve">；</w:t>
      </w:r>
    </w:p>
    <w:p>
      <w:pPr>
        <w:numPr>
          <w:ilvl w:val="0"/>
          <w:numId w:val="1002"/>
        </w:numPr>
        <w:pStyle w:val="Compact"/>
      </w:pPr>
      <w:r>
        <w:t xml:space="preserve">宿主辅助头：</w:t>
      </w:r>
      <w:r>
        <w:rPr>
          <w:rStyle w:val="VerbatimChar"/>
        </w:rPr>
        <w:t xml:space="preserve">Linear(768, 22)</w:t>
      </w:r>
      <w:r>
        <w:t xml:space="preserve">，仅训练时使用；</w:t>
      </w:r>
    </w:p>
    <w:p>
      <w:pPr>
        <w:numPr>
          <w:ilvl w:val="0"/>
          <w:numId w:val="1002"/>
        </w:numPr>
        <w:pStyle w:val="Compact"/>
      </w:pPr>
      <w:r>
        <w:t xml:space="preserve">属性辅助头：</w:t>
      </w:r>
      <w:r>
        <w:rPr>
          <w:rStyle w:val="VerbatimChar"/>
        </w:rPr>
        <w:t xml:space="preserve">Linear(768, 4)</w:t>
      </w:r>
      <w:r>
        <w:t xml:space="preserve">，仅训练时使用。</w:t>
      </w:r>
    </w:p>
    <w:p>
      <w:pPr>
        <w:pStyle w:val="FirstParagraph"/>
      </w:pPr>
      <w:r>
        <w:t xml:space="preserve">主干尺度变化如下：</w:t>
      </w:r>
    </w:p>
    <w:p>
      <w:pPr>
        <w:pStyle w:val="CaptionedFigure"/>
      </w:pPr>
      <w:r>
        <w:drawing>
          <wp:inline>
            <wp:extent cx="5334000" cy="2352000"/>
            <wp:effectExtent b="0" l="0" r="0" t="0"/>
            <wp:docPr descr="ConvNeXt-Tiny 尺度变化" title="" id="33" name="Picture"/>
            <a:graphic>
              <a:graphicData uri="http://schemas.openxmlformats.org/drawingml/2006/picture">
                <pic:pic>
                  <pic:nvPicPr>
                    <pic:cNvPr descr="../results/figures/convnext_stages.png" id="34" name="Picture"/>
                    <pic:cNvPicPr>
                      <a:picLocks noChangeArrowheads="1" noChangeAspect="1"/>
                    </pic:cNvPicPr>
                  </pic:nvPicPr>
                  <pic:blipFill>
                    <a:blip r:embed="rId32"/>
                    <a:stretch>
                      <a:fillRect/>
                    </a:stretch>
                  </pic:blipFill>
                  <pic:spPr bwMode="auto">
                    <a:xfrm>
                      <a:off x="0" y="0"/>
                      <a:ext cx="5334000" cy="2352000"/>
                    </a:xfrm>
                    <a:prstGeom prst="rect">
                      <a:avLst/>
                    </a:prstGeom>
                    <a:noFill/>
                    <a:ln w="9525">
                      <a:noFill/>
                      <a:headEnd/>
                      <a:tailEnd/>
                    </a:ln>
                  </pic:spPr>
                </pic:pic>
              </a:graphicData>
            </a:graphic>
          </wp:inline>
        </w:drawing>
      </w:r>
    </w:p>
    <w:p>
      <w:pPr>
        <w:pStyle w:val="ImageCaption"/>
      </w:pPr>
      <w:r>
        <w:t xml:space="preserve">ConvNeXt-Tiny 尺度变化</w:t>
      </w:r>
    </w:p>
    <w:p>
      <w:pPr>
        <w:pStyle w:val="BodyText"/>
      </w:pPr>
      <w:r>
        <w:t xml:space="preserve">ConvNeXt Block 的内部计算流程如下：</w:t>
      </w:r>
    </w:p>
    <w:p>
      <w:pPr>
        <w:pStyle w:val="CaptionedFigure"/>
      </w:pPr>
      <w:r>
        <w:drawing>
          <wp:inline>
            <wp:extent cx="5334000" cy="2268000"/>
            <wp:effectExtent b="0" l="0" r="0" t="0"/>
            <wp:docPr descr="ConvNeXt Block" title="" id="36" name="Picture"/>
            <a:graphic>
              <a:graphicData uri="http://schemas.openxmlformats.org/drawingml/2006/picture">
                <pic:pic>
                  <pic:nvPicPr>
                    <pic:cNvPr descr="../results/figures/convnext_block.png" id="37" name="Picture"/>
                    <pic:cNvPicPr>
                      <a:picLocks noChangeArrowheads="1" noChangeAspect="1"/>
                    </pic:cNvPicPr>
                  </pic:nvPicPr>
                  <pic:blipFill>
                    <a:blip r:embed="rId35"/>
                    <a:stretch>
                      <a:fillRect/>
                    </a:stretch>
                  </pic:blipFill>
                  <pic:spPr bwMode="auto">
                    <a:xfrm>
                      <a:off x="0" y="0"/>
                      <a:ext cx="5334000" cy="2268000"/>
                    </a:xfrm>
                    <a:prstGeom prst="rect">
                      <a:avLst/>
                    </a:prstGeom>
                    <a:noFill/>
                    <a:ln w="9525">
                      <a:noFill/>
                      <a:headEnd/>
                      <a:tailEnd/>
                    </a:ln>
                  </pic:spPr>
                </pic:pic>
              </a:graphicData>
            </a:graphic>
          </wp:inline>
        </w:drawing>
      </w:r>
    </w:p>
    <w:p>
      <w:pPr>
        <w:pStyle w:val="ImageCaption"/>
      </w:pPr>
      <w:r>
        <w:t xml:space="preserve">ConvNeXt Block</w:t>
      </w:r>
    </w:p>
    <w:bookmarkEnd w:id="38"/>
    <w:bookmarkStart w:id="42" w:name="检测专家"/>
    <w:p>
      <w:pPr>
        <w:pStyle w:val="Heading2"/>
      </w:pPr>
      <w:r>
        <w:t xml:space="preserve">4.3 检测专家</w:t>
      </w:r>
    </w:p>
    <w:p>
      <w:pPr>
        <w:pStyle w:val="FirstParagraph"/>
      </w:pPr>
      <w:r>
        <w:t xml:space="preserve">检测专家输入为最长边 640 的图片，骨干为 ConvNeXt-Tiny，四个 stage 的特征经 FPN 融合为 P2~P6。RPN 生成候选框，RoIAlign 提取固定 7×7 特征，RoI Heads 输出 96 类分类分数和框回归结果，最后经 NMS 输出检测框：</w:t>
      </w:r>
    </w:p>
    <w:p>
      <w:pPr>
        <w:pStyle w:val="CaptionedFigure"/>
      </w:pPr>
      <w:r>
        <w:drawing>
          <wp:inline>
            <wp:extent cx="5334000" cy="2856000"/>
            <wp:effectExtent b="0" l="0" r="0" t="0"/>
            <wp:docPr descr="Faster R-CNN 检测流程" title="" id="40" name="Picture"/>
            <a:graphic>
              <a:graphicData uri="http://schemas.openxmlformats.org/drawingml/2006/picture">
                <pic:pic>
                  <pic:nvPicPr>
                    <pic:cNvPr descr="../results/figures/faster_rcnn.png" id="41" name="Picture"/>
                    <pic:cNvPicPr>
                      <a:picLocks noChangeArrowheads="1" noChangeAspect="1"/>
                    </pic:cNvPicPr>
                  </pic:nvPicPr>
                  <pic:blipFill>
                    <a:blip r:embed="rId39"/>
                    <a:stretch>
                      <a:fillRect/>
                    </a:stretch>
                  </pic:blipFill>
                  <pic:spPr bwMode="auto">
                    <a:xfrm>
                      <a:off x="0" y="0"/>
                      <a:ext cx="5334000" cy="2856000"/>
                    </a:xfrm>
                    <a:prstGeom prst="rect">
                      <a:avLst/>
                    </a:prstGeom>
                    <a:noFill/>
                    <a:ln w="9525">
                      <a:noFill/>
                      <a:headEnd/>
                      <a:tailEnd/>
                    </a:ln>
                  </pic:spPr>
                </pic:pic>
              </a:graphicData>
            </a:graphic>
          </wp:inline>
        </w:drawing>
      </w:r>
    </w:p>
    <w:p>
      <w:pPr>
        <w:pStyle w:val="ImageCaption"/>
      </w:pPr>
      <w:r>
        <w:t xml:space="preserve">Faster R-CNN 检测流程</w:t>
      </w:r>
    </w:p>
    <w:bookmarkEnd w:id="42"/>
    <w:bookmarkEnd w:id="43"/>
    <w:bookmarkStart w:id="50" w:name="数学原理推导"/>
    <w:p>
      <w:pPr>
        <w:pStyle w:val="Heading1"/>
      </w:pPr>
      <w:r>
        <w:t xml:space="preserve">5 数学原理推导</w:t>
      </w:r>
    </w:p>
    <w:bookmarkStart w:id="44" w:name="softmax-与交叉熵"/>
    <w:p>
      <w:pPr>
        <w:pStyle w:val="Heading2"/>
      </w:pPr>
      <w:r>
        <w:t xml:space="preserve">5.1 Softmax 与交叉熵</w:t>
      </w:r>
    </w:p>
    <w:p>
      <w:pPr>
        <w:pStyle w:val="FirstParagraph"/>
      </w:pPr>
      <w:r>
        <w:t xml:space="preserve">对于类别数</w:t>
      </w:r>
      <w:r>
        <w:t xml:space="preserve"> </w:t>
      </w:r>
      <m:oMath>
        <m:r>
          <m:t>C</m:t>
        </m:r>
      </m:oMath>
      <w:r>
        <w:t xml:space="preserve"> </w:t>
      </w:r>
      <w:r>
        <w:t xml:space="preserve">的分类问题，logits 为</w:t>
      </w:r>
      <w:r>
        <w:t xml:space="preserve"> </w:t>
      </w:r>
      <m:oMath>
        <m:r>
          <m:t>z</m:t>
        </m:r>
        <m:r>
          <m:rPr>
            <m:sty m:val="p"/>
          </m:rPr>
          <m:t>=</m:t>
        </m:r>
        <m:d>
          <m:dPr>
            <m:begChr m:val="["/>
            <m:endChr m:val="]"/>
            <m:sepChr m:val=""/>
            <m:grow/>
          </m:dPr>
          <m:e>
            <m:sSub>
              <m:e>
                <m:r>
                  <m:t>z</m:t>
                </m:r>
              </m:e>
              <m:sub>
                <m:r>
                  <m:t>1</m:t>
                </m:r>
              </m:sub>
            </m:sSub>
            <m:r>
              <m:rPr>
                <m:sty m:val="p"/>
              </m:rPr>
              <m:t>,</m:t>
            </m:r>
            <m:r>
              <m:rPr>
                <m:sty m:val="p"/>
              </m:rPr>
              <m:t>…</m:t>
            </m:r>
            <m:r>
              <m:rPr>
                <m:sty m:val="p"/>
              </m:rPr>
              <m:t>,</m:t>
            </m:r>
            <m:sSub>
              <m:e>
                <m:r>
                  <m:t>z</m:t>
                </m:r>
              </m:e>
              <m:sub>
                <m:r>
                  <m:t>C</m:t>
                </m:r>
              </m:sub>
            </m:sSub>
          </m:e>
        </m:d>
      </m:oMath>
      <w:r>
        <w:t xml:space="preserve">，Softmax 概率为：</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交叉熵损失为：</w:t>
      </w:r>
    </w:p>
    <w:p>
      <w:pPr>
        <w:pStyle w:val="BodyText"/>
      </w:pPr>
      <m:oMathPara>
        <m:oMathParaPr>
          <m:jc m:val="center"/>
        </m:oMathParaPr>
        <m:oMath>
          <m:sSub>
            <m:e>
              <m:r>
                <m:rPr>
                  <m:sty m:val="p"/>
                  <m:scr m:val="script"/>
                </m:rPr>
                <m:t>L</m:t>
              </m:r>
            </m:e>
            <m:sub>
              <m:r>
                <m:t>C</m:t>
              </m:r>
              <m:r>
                <m:t>E</m:t>
              </m:r>
            </m:sub>
          </m:sSub>
          <m:r>
            <m:rPr>
              <m:sty m:val="p"/>
            </m:rPr>
            <m:t>=</m:t>
          </m:r>
          <m:r>
            <m:rPr>
              <m:sty m:val="p"/>
            </m:rPr>
            <m:t>−</m:t>
          </m:r>
          <m:nary>
            <m:naryPr>
              <m:chr m:val="∑"/>
              <m:limLoc m:val="undOvr"/>
              <m:subHide m:val="off"/>
              <m:supHide m:val="off"/>
            </m:naryPr>
            <m:sub>
              <m:r>
                <m:t>i</m:t>
              </m:r>
              <m:r>
                <m:rPr>
                  <m:sty m:val="p"/>
                </m:rPr>
                <m:t>=</m:t>
              </m:r>
              <m:r>
                <m:t>1</m:t>
              </m:r>
            </m:sub>
            <m:sup>
              <m:r>
                <m:t>C</m:t>
              </m:r>
            </m:sup>
            <m:e>
              <m:sSub>
                <m:e>
                  <m:r>
                    <m:t>y</m:t>
                  </m:r>
                </m:e>
                <m:sub>
                  <m:r>
                    <m:t>i</m:t>
                  </m:r>
                </m:sub>
              </m:sSub>
            </m:e>
          </m:nary>
          <m:r>
            <m:rPr>
              <m:sty m:val="p"/>
            </m:rPr>
            <m:t>log</m:t>
          </m:r>
          <m:sSub>
            <m:e>
              <m:r>
                <m:t>p</m:t>
              </m:r>
            </m:e>
            <m:sub>
              <m:r>
                <m:t>i</m:t>
              </m:r>
            </m:sub>
          </m:sSub>
        </m:oMath>
      </m:oMathPara>
    </w:p>
    <w:p>
      <w:pPr>
        <w:pStyle w:val="FirstParagraph"/>
      </w:pPr>
      <w:r>
        <w:t xml:space="preserve">其中</w:t>
      </w:r>
      <w:r>
        <w:t xml:space="preserve"> </w:t>
      </w:r>
      <m:oMath>
        <m:sSub>
          <m:e>
            <m:r>
              <m:t>y</m:t>
            </m:r>
          </m:e>
          <m:sub>
            <m:r>
              <m:t>i</m:t>
            </m:r>
          </m:sub>
        </m:sSub>
      </m:oMath>
      <w:r>
        <w:t xml:space="preserve"> </w:t>
      </w:r>
      <w:r>
        <w:t xml:space="preserve">为 one-hot 标签。</w:t>
      </w:r>
    </w:p>
    <w:bookmarkEnd w:id="44"/>
    <w:bookmarkStart w:id="45" w:name="focal-loss"/>
    <w:p>
      <w:pPr>
        <w:pStyle w:val="Heading2"/>
      </w:pPr>
      <w:r>
        <w:t xml:space="preserve">5.2 Focal Loss</w:t>
      </w:r>
    </w:p>
    <w:p>
      <w:pPr>
        <w:pStyle w:val="FirstParagraph"/>
      </w:pPr>
      <w:r>
        <w:t xml:space="preserve">为了缓解长尾分布中头部类别对损失的支配，本课题使用 Focal Loss。记真实类别的预测概率为</w:t>
      </w:r>
      <w:r>
        <w:t xml:space="preserve"> </w:t>
      </w:r>
      <m:oMath>
        <m:sSub>
          <m:e>
            <m:r>
              <m:t>p</m:t>
            </m:r>
          </m:e>
          <m:sub>
            <m:r>
              <m:t>t</m:t>
            </m:r>
          </m:sub>
        </m:sSub>
      </m:oMath>
      <w:r>
        <w:t xml:space="preserve">，类别权重为</w:t>
      </w:r>
      <w:r>
        <w:t xml:space="preserve"> </w:t>
      </w:r>
      <m:oMath>
        <m:sSub>
          <m:e>
            <m:r>
              <m:t>α</m:t>
            </m:r>
          </m:e>
          <m:sub>
            <m:r>
              <m:t>t</m:t>
            </m:r>
          </m:sub>
        </m:sSub>
      </m:oMath>
      <w:r>
        <w:t xml:space="preserve">，聚焦参数为</w:t>
      </w:r>
      <w:r>
        <w:t xml:space="preserve"> </w:t>
      </w:r>
      <m:oMath>
        <m:r>
          <m:t>γ</m:t>
        </m:r>
      </m:oMath>
      <w:r>
        <w:t xml:space="preserve">，则：</w:t>
      </w:r>
    </w:p>
    <w:p>
      <w:pPr>
        <w:pStyle w:val="BodyText"/>
      </w:pPr>
      <m:oMathPara>
        <m:oMathParaPr>
          <m:jc m:val="center"/>
        </m:oMathParaPr>
        <m:oMath>
          <m:sSub>
            <m:e>
              <m:r>
                <m:rPr>
                  <m:sty m:val="p"/>
                  <m:scr m:val="script"/>
                </m:rPr>
                <m:t>L</m:t>
              </m:r>
            </m:e>
            <m:sub>
              <m:r>
                <m:t>F</m:t>
              </m:r>
              <m:r>
                <m:t>o</m:t>
              </m:r>
              <m:r>
                <m:t>c</m:t>
              </m:r>
              <m:r>
                <m:t>a</m:t>
              </m:r>
              <m:r>
                <m:t>l</m:t>
              </m:r>
            </m:sub>
          </m:sSub>
          <m:r>
            <m:rPr>
              <m:sty m:val="p"/>
            </m:rPr>
            <m:t>=</m:t>
          </m:r>
          <m:r>
            <m:rPr>
              <m:sty m:val="p"/>
            </m:rPr>
            <m:t>−</m:t>
          </m:r>
          <m:sSub>
            <m:e>
              <m:r>
                <m:t>α</m:t>
              </m:r>
            </m:e>
            <m:sub>
              <m:r>
                <m:t>t</m:t>
              </m:r>
            </m:sub>
          </m:sSub>
          <m:sSup>
            <m:e>
              <m:d>
                <m:dPr>
                  <m:begChr m:val="("/>
                  <m:endChr m:val=")"/>
                  <m:sepChr m:val=""/>
                  <m:grow/>
                </m:dPr>
                <m:e>
                  <m:r>
                    <m:t>1</m:t>
                  </m:r>
                  <m:r>
                    <m:rPr>
                      <m:sty m:val="p"/>
                    </m:rPr>
                    <m:t>−</m:t>
                  </m:r>
                  <m:sSub>
                    <m:e>
                      <m:r>
                        <m:t>p</m:t>
                      </m:r>
                    </m:e>
                    <m:sub>
                      <m:r>
                        <m:t>t</m:t>
                      </m:r>
                    </m:sub>
                  </m:sSub>
                </m:e>
              </m:d>
            </m:e>
            <m:sup>
              <m:r>
                <m:t>γ</m:t>
              </m:r>
            </m:sup>
          </m:sSup>
          <m:r>
            <m:rPr>
              <m:sty m:val="p"/>
            </m:rPr>
            <m:t>log</m:t>
          </m:r>
          <m:sSub>
            <m:e>
              <m:r>
                <m:t>p</m:t>
              </m:r>
            </m:e>
            <m:sub>
              <m:r>
                <m:t>t</m:t>
              </m:r>
            </m:sub>
          </m:sSub>
        </m:oMath>
      </m:oMathPara>
    </w:p>
    <w:p>
      <w:pPr>
        <w:pStyle w:val="FirstParagraph"/>
      </w:pPr>
      <w:r>
        <w:t xml:space="preserve">当</w:t>
      </w:r>
      <w:r>
        <w:t xml:space="preserve"> </w:t>
      </w:r>
      <m:oMath>
        <m:r>
          <m:t>γ</m:t>
        </m:r>
        <m:r>
          <m:rPr>
            <m:sty m:val="p"/>
          </m:rPr>
          <m:t>=</m:t>
        </m:r>
        <m:r>
          <m:t>2</m:t>
        </m:r>
      </m:oMath>
      <w:r>
        <w:t xml:space="preserve"> </w:t>
      </w:r>
      <w:r>
        <w:t xml:space="preserve">时，难分样本的损失权重被放大，易分样本的损失被抑制。配合 Label Smoothing，将标签分布替换为：</w:t>
      </w:r>
    </w:p>
    <w:p>
      <w:pPr>
        <w:pStyle w:val="BodyText"/>
      </w:pPr>
      <m:oMathPara>
        <m:oMathParaPr>
          <m:jc m:val="center"/>
        </m:oMathParaPr>
        <m:oMath>
          <m:sSub>
            <m:e>
              <m:acc>
                <m:accPr>
                  <m:chr m:val="̃"/>
                </m:accPr>
                <m:e>
                  <m:r>
                    <m:t>y</m:t>
                  </m:r>
                </m:e>
              </m:acc>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ε</m:t>
                    </m:r>
                    <m:r>
                      <m:rPr>
                        <m:sty m:val="p"/>
                      </m:rPr>
                      <m:t>,</m:t>
                    </m:r>
                  </m:e>
                  <m:e>
                    <m:r>
                      <m:t>i</m:t>
                    </m:r>
                    <m:r>
                      <m:rPr>
                        <m:sty m:val="p"/>
                      </m:rPr>
                      <m:t>=</m:t>
                    </m:r>
                    <m:r>
                      <m:t>t</m:t>
                    </m:r>
                  </m:e>
                </m:mr>
                <m:mr>
                  <m:e>
                    <m:r>
                      <m:t>ε</m:t>
                    </m:r>
                    <m:r>
                      <m:rPr>
                        <m:sty m:val="p"/>
                      </m:rPr>
                      <m:t>/</m:t>
                    </m:r>
                    <m:d>
                      <m:dPr>
                        <m:begChr m:val="("/>
                        <m:endChr m:val=")"/>
                        <m:sepChr m:val=""/>
                        <m:grow/>
                      </m:dPr>
                      <m:e>
                        <m:r>
                          <m:t>C</m:t>
                        </m:r>
                        <m:r>
                          <m:rPr>
                            <m:sty m:val="p"/>
                          </m:rPr>
                          <m:t>−</m:t>
                        </m:r>
                        <m:r>
                          <m:t>1</m:t>
                        </m:r>
                      </m:e>
                    </m:d>
                    <m:r>
                      <m:rPr>
                        <m:sty m:val="p"/>
                      </m:rPr>
                      <m:t>,</m:t>
                    </m:r>
                  </m:e>
                  <m:e>
                    <m:r>
                      <m:t>i</m:t>
                    </m:r>
                    <m:r>
                      <m:rPr>
                        <m:sty m:val="p"/>
                      </m:rPr>
                      <m:t>≠</m:t>
                    </m:r>
                    <m:r>
                      <m:t>t</m:t>
                    </m:r>
                  </m:e>
                </m:mr>
              </m:m>
            </m:e>
          </m:d>
        </m:oMath>
      </m:oMathPara>
    </w:p>
    <w:bookmarkEnd w:id="45"/>
    <w:bookmarkStart w:id="46" w:name="类别平衡采样权重"/>
    <w:p>
      <w:pPr>
        <w:pStyle w:val="Heading2"/>
      </w:pPr>
      <w:r>
        <w:t xml:space="preserve">5.3 类别平衡采样权重</w:t>
      </w:r>
    </w:p>
    <w:p>
      <w:pPr>
        <w:pStyle w:val="FirstParagraph"/>
      </w:pPr>
      <w:r>
        <w:t xml:space="preserve">设类别</w:t>
      </w:r>
      <w:r>
        <w:t xml:space="preserve"> </w:t>
      </w:r>
      <m:oMath>
        <m:r>
          <m:t>c</m:t>
        </m:r>
      </m:oMath>
      <w:r>
        <w:t xml:space="preserve"> </w:t>
      </w:r>
      <w:r>
        <w:t xml:space="preserve">的样本数为</w:t>
      </w:r>
      <w:r>
        <w:t xml:space="preserve"> </w:t>
      </w:r>
      <m:oMath>
        <m:sSub>
          <m:e>
            <m:r>
              <m:t>N</m:t>
            </m:r>
          </m:e>
          <m:sub>
            <m:r>
              <m:t>c</m:t>
            </m:r>
          </m:sub>
        </m:sSub>
      </m:oMath>
      <w:r>
        <w:t xml:space="preserve">，训练采样权重取：</w:t>
      </w:r>
    </w:p>
    <w:p>
      <w:pPr>
        <w:pStyle w:val="BodyText"/>
      </w:pPr>
      <m:oMathPara>
        <m:oMathParaPr>
          <m:jc m:val="center"/>
        </m:oMathParaPr>
        <m:oMath>
          <m:sSub>
            <m:e>
              <m:r>
                <m:t>w</m:t>
              </m:r>
            </m:e>
            <m:sub>
              <m:r>
                <m:t>c</m:t>
              </m:r>
            </m:sub>
          </m:sSub>
          <m:r>
            <m:rPr>
              <m:sty m:val="p"/>
            </m:rPr>
            <m:t>=</m:t>
          </m:r>
          <m:f>
            <m:fPr>
              <m:type m:val="bar"/>
            </m:fPr>
            <m:num>
              <m:r>
                <m:t>1</m:t>
              </m:r>
            </m:num>
            <m:den>
              <m:rad>
                <m:radPr>
                  <m:degHide m:val="on"/>
                </m:radPr>
                <m:deg/>
                <m:e>
                  <m:sSub>
                    <m:e>
                      <m:r>
                        <m:t>N</m:t>
                      </m:r>
                    </m:e>
                    <m:sub>
                      <m:r>
                        <m:t>c</m:t>
                      </m:r>
                    </m:sub>
                  </m:sSub>
                </m:e>
              </m:rad>
            </m:den>
          </m:f>
        </m:oMath>
      </m:oMathPara>
    </w:p>
    <w:p>
      <w:pPr>
        <w:pStyle w:val="FirstParagraph"/>
      </w:pPr>
      <w:r>
        <w:t xml:space="preserve">并在每个 epoch 中以该权重有放回采样，使尾部类别获得更高出现频率。</w:t>
      </w:r>
    </w:p>
    <w:bookmarkEnd w:id="46"/>
    <w:bookmarkStart w:id="47" w:name="rpn-损失"/>
    <w:p>
      <w:pPr>
        <w:pStyle w:val="Heading2"/>
      </w:pPr>
      <w:r>
        <w:t xml:space="preserve">5.4 RPN 损失</w:t>
      </w:r>
    </w:p>
    <w:p>
      <w:pPr>
        <w:pStyle w:val="FirstParagraph"/>
      </w:pPr>
      <w:r>
        <w:t xml:space="preserve">RPN 总损失由分类损失和回归损失组成：</w:t>
      </w:r>
    </w:p>
    <w:p>
      <w:pPr>
        <w:pStyle w:val="BodyText"/>
      </w:pPr>
      <m:oMathPara>
        <m:oMathParaPr>
          <m:jc m:val="center"/>
        </m:oMathParaPr>
        <m:oMath>
          <m:sSub>
            <m:e>
              <m:r>
                <m:rPr>
                  <m:sty m:val="p"/>
                  <m:scr m:val="script"/>
                </m:rPr>
                <m:t>L</m:t>
              </m:r>
            </m:e>
            <m:sub>
              <m:r>
                <m:t>R</m:t>
              </m:r>
              <m:r>
                <m:t>P</m:t>
              </m:r>
              <m:r>
                <m:t>N</m:t>
              </m:r>
            </m:sub>
          </m:sSub>
          <m:r>
            <m:rPr>
              <m:sty m:val="p"/>
            </m:rPr>
            <m:t>=</m:t>
          </m:r>
          <m:f>
            <m:fPr>
              <m:type m:val="bar"/>
            </m:fPr>
            <m:num>
              <m:r>
                <m:t>1</m:t>
              </m:r>
            </m:num>
            <m:den>
              <m:sSub>
                <m:e>
                  <m:r>
                    <m:t>N</m:t>
                  </m:r>
                </m:e>
                <m:sub>
                  <m:r>
                    <m:t>c</m:t>
                  </m:r>
                  <m:r>
                    <m:t>l</m:t>
                  </m:r>
                  <m:r>
                    <m:t>s</m:t>
                  </m:r>
                </m:sub>
              </m:sSub>
            </m:den>
          </m:f>
          <m:nary>
            <m:naryPr>
              <m:chr m:val="∑"/>
              <m:limLoc m:val="undOvr"/>
              <m:subHide m:val="off"/>
              <m:supHide m:val="on"/>
            </m:naryPr>
            <m:sub>
              <m:r>
                <m:t>i</m:t>
              </m:r>
            </m:sub>
            <m:sup>
              <m:r>
                <m:t>​</m:t>
              </m:r>
            </m:sup>
            <m:e>
              <m:sSub>
                <m:e>
                  <m:r>
                    <m:rPr>
                      <m:sty m:val="p"/>
                      <m:scr m:val="script"/>
                    </m:rPr>
                    <m:t>L</m:t>
                  </m:r>
                </m:e>
                <m:sub>
                  <m:r>
                    <m:t>c</m:t>
                  </m:r>
                  <m:r>
                    <m:t>l</m:t>
                  </m:r>
                  <m:r>
                    <m:t>s</m:t>
                  </m:r>
                </m:sub>
              </m:sSub>
            </m:e>
          </m:nary>
          <m:d>
            <m:dPr>
              <m:begChr m:val="("/>
              <m:endChr m:val=")"/>
              <m:sepChr m:val=""/>
              <m:grow/>
            </m:dPr>
            <m:e>
              <m:sSub>
                <m:e>
                  <m:r>
                    <m:t>p</m:t>
                  </m:r>
                </m:e>
                <m:sub>
                  <m:r>
                    <m:t>i</m:t>
                  </m:r>
                </m:sub>
              </m:sSub>
              <m:r>
                <m:rPr>
                  <m:sty m:val="p"/>
                </m:rPr>
                <m:t>,</m:t>
              </m:r>
              <m:sSubSup>
                <m:e>
                  <m:r>
                    <m:t>p</m:t>
                  </m:r>
                </m:e>
                <m:sub>
                  <m:r>
                    <m:t>i</m:t>
                  </m:r>
                </m:sub>
                <m:sup>
                  <m:r>
                    <m:rPr>
                      <m:sty m:val="p"/>
                    </m:rPr>
                    <m:t>*</m:t>
                  </m:r>
                </m:sup>
              </m:sSubSup>
            </m:e>
          </m:d>
          <m:r>
            <m:rPr>
              <m:sty m:val="p"/>
            </m:rPr>
            <m:t>+</m:t>
          </m:r>
          <m:r>
            <m:t>λ</m:t>
          </m:r>
          <m:f>
            <m:fPr>
              <m:type m:val="bar"/>
            </m:fPr>
            <m:num>
              <m:r>
                <m:t>1</m:t>
              </m:r>
            </m:num>
            <m:den>
              <m:sSub>
                <m:e>
                  <m:r>
                    <m:t>N</m:t>
                  </m:r>
                </m:e>
                <m:sub>
                  <m:r>
                    <m:t>r</m:t>
                  </m:r>
                  <m:r>
                    <m:t>e</m:t>
                  </m:r>
                  <m:r>
                    <m:t>g</m:t>
                  </m:r>
                </m:sub>
              </m:sSub>
            </m:den>
          </m:f>
          <m:nary>
            <m:naryPr>
              <m:chr m:val="∑"/>
              <m:limLoc m:val="undOvr"/>
              <m:subHide m:val="off"/>
              <m:supHide m:val="on"/>
            </m:naryPr>
            <m:sub>
              <m:r>
                <m:t>i</m:t>
              </m:r>
            </m:sub>
            <m:sup>
              <m:r>
                <m:t>​</m:t>
              </m:r>
            </m:sup>
            <m:e>
              <m:sSubSup>
                <m:e>
                  <m:r>
                    <m:t>p</m:t>
                  </m:r>
                </m:e>
                <m:sub>
                  <m:r>
                    <m:t>i</m:t>
                  </m:r>
                </m:sub>
                <m:sup>
                  <m:r>
                    <m:rPr>
                      <m:sty m:val="p"/>
                    </m:rPr>
                    <m:t>*</m:t>
                  </m:r>
                </m:sup>
              </m:sSubSup>
            </m:e>
          </m:nary>
          <m:r>
            <m:t> </m:t>
          </m:r>
          <m:sSub>
            <m:e>
              <m:r>
                <m:rPr>
                  <m:sty m:val="p"/>
                  <m:scr m:val="script"/>
                </m:rPr>
                <m:t>L</m:t>
              </m:r>
            </m:e>
            <m:sub>
              <m:r>
                <m:t>r</m:t>
              </m:r>
              <m:r>
                <m:t>e</m:t>
              </m:r>
              <m:r>
                <m:t>g</m:t>
              </m:r>
            </m:sub>
          </m:sSub>
          <m:d>
            <m:dPr>
              <m:begChr m:val="("/>
              <m:endChr m:val=")"/>
              <m:sepChr m:val=""/>
              <m:grow/>
            </m:dPr>
            <m:e>
              <m:sSub>
                <m:e>
                  <m:r>
                    <m:t>t</m:t>
                  </m:r>
                </m:e>
                <m:sub>
                  <m:r>
                    <m:t>i</m:t>
                  </m:r>
                </m:sub>
              </m:sSub>
              <m:r>
                <m:rPr>
                  <m:sty m:val="p"/>
                </m:rPr>
                <m:t>,</m:t>
              </m:r>
              <m:sSubSup>
                <m:e>
                  <m:r>
                    <m:t>t</m:t>
                  </m:r>
                </m:e>
                <m:sub>
                  <m:r>
                    <m:t>i</m:t>
                  </m:r>
                </m:sub>
                <m:sup>
                  <m:r>
                    <m:rPr>
                      <m:sty m:val="p"/>
                    </m:rPr>
                    <m:t>*</m:t>
                  </m:r>
                </m:sup>
              </m:sSubSup>
            </m:e>
          </m:d>
        </m:oMath>
      </m:oMathPara>
    </w:p>
    <w:p>
      <w:pPr>
        <w:pStyle w:val="FirstParagraph"/>
      </w:pPr>
      <w:r>
        <w:t xml:space="preserve">其中</w:t>
      </w:r>
      <w:r>
        <w:t xml:space="preserve"> </w:t>
      </w:r>
      <m:oMath>
        <m:sSubSup>
          <m:e>
            <m:r>
              <m:t>p</m:t>
            </m:r>
          </m:e>
          <m:sub>
            <m:r>
              <m:t>i</m:t>
            </m:r>
          </m:sub>
          <m:sup>
            <m:r>
              <m:rPr>
                <m:sty m:val="p"/>
              </m:rPr>
              <m:t>*</m:t>
            </m:r>
          </m:sup>
        </m:sSubSup>
      </m:oMath>
      <w:r>
        <w:t xml:space="preserve"> </w:t>
      </w:r>
      <w:r>
        <w:t xml:space="preserve">为 anchor 是否为正样本的标签，分类损失为二分类交叉熵，回归损失为 Smooth L1：</w:t>
      </w:r>
    </w:p>
    <w:p>
      <w:pPr>
        <w:pStyle w:val="BodyText"/>
      </w:pPr>
      <m:oMathPara>
        <m:oMathParaPr>
          <m:jc m:val="center"/>
        </m:oMathParaPr>
        <m:oMath>
          <m:r>
            <m:t>S</m:t>
          </m:r>
          <m:r>
            <m:t>m</m:t>
          </m:r>
          <m:r>
            <m:t>o</m:t>
          </m:r>
          <m:r>
            <m:t>o</m:t>
          </m:r>
          <m:r>
            <m:t>t</m:t>
          </m:r>
          <m:sSub>
            <m:e>
              <m:r>
                <m:t>h</m:t>
              </m:r>
            </m:e>
            <m:sub>
              <m:r>
                <m:t>L</m:t>
              </m:r>
              <m:r>
                <m:t>1</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0.5</m:t>
                    </m:r>
                    <m:sSup>
                      <m:e>
                        <m:r>
                          <m:t>x</m:t>
                        </m:r>
                      </m:e>
                      <m:sup>
                        <m:r>
                          <m:t>2</m:t>
                        </m:r>
                      </m:sup>
                    </m:sSup>
                    <m:r>
                      <m:rPr>
                        <m:sty m:val="p"/>
                      </m:rPr>
                      <m:t>,</m:t>
                    </m:r>
                  </m:e>
                  <m:e>
                    <m:d>
                      <m:dPr>
                        <m:begChr m:val="|"/>
                        <m:endChr m:val="|"/>
                        <m:sepChr m:val=""/>
                        <m:grow/>
                      </m:dPr>
                      <m:e>
                        <m:r>
                          <m:t>x</m:t>
                        </m:r>
                      </m:e>
                    </m:d>
                    <m:r>
                      <m:rPr>
                        <m:sty m:val="p"/>
                      </m:rPr>
                      <m:t>&lt;</m:t>
                    </m:r>
                    <m:r>
                      <m:t>1</m:t>
                    </m:r>
                  </m:e>
                </m:mr>
                <m:mr>
                  <m:e>
                    <m:d>
                      <m:dPr>
                        <m:begChr m:val="|"/>
                        <m:endChr m:val="|"/>
                        <m:sepChr m:val=""/>
                        <m:grow/>
                      </m:dPr>
                      <m:e>
                        <m:r>
                          <m:t>x</m:t>
                        </m:r>
                      </m:e>
                    </m:d>
                    <m:r>
                      <m:rPr>
                        <m:sty m:val="p"/>
                      </m:rPr>
                      <m:t>−</m:t>
                    </m:r>
                    <m:r>
                      <m:t>0.5</m:t>
                    </m:r>
                    <m:r>
                      <m:rPr>
                        <m:sty m:val="p"/>
                      </m:rPr>
                      <m:t>,</m:t>
                    </m:r>
                  </m:e>
                  <m:e>
                    <m:d>
                      <m:dPr>
                        <m:begChr m:val="|"/>
                        <m:endChr m:val="|"/>
                        <m:sepChr m:val=""/>
                        <m:grow/>
                      </m:dPr>
                      <m:e>
                        <m:r>
                          <m:t>x</m:t>
                        </m:r>
                      </m:e>
                    </m:d>
                    <m:r>
                      <m:rPr>
                        <m:sty m:val="p"/>
                      </m:rPr>
                      <m:t>≥</m:t>
                    </m:r>
                    <m:r>
                      <m:t>1</m:t>
                    </m:r>
                  </m:e>
                </m:mr>
              </m:m>
            </m:e>
          </m:d>
        </m:oMath>
      </m:oMathPara>
    </w:p>
    <w:bookmarkEnd w:id="47"/>
    <w:bookmarkStart w:id="48" w:name="边界框编码与-nms"/>
    <w:p>
      <w:pPr>
        <w:pStyle w:val="Heading2"/>
      </w:pPr>
      <w:r>
        <w:t xml:space="preserve">5.5 边界框编码与 NMS</w:t>
      </w:r>
    </w:p>
    <w:p>
      <w:pPr>
        <w:pStyle w:val="FirstParagraph"/>
      </w:pPr>
      <w:r>
        <w:t xml:space="preserve">框回归使用中心点与宽高编码：</w:t>
      </w:r>
    </w:p>
    <w:p>
      <w:pPr>
        <w:pStyle w:val="BodyText"/>
      </w:pPr>
      <m:oMathPara>
        <m:oMathParaPr>
          <m:jc m:val="center"/>
        </m:oMathParaPr>
        <m:oMath>
          <m:sSub>
            <m:e>
              <m:r>
                <m:t>t</m:t>
              </m:r>
            </m:e>
            <m:sub>
              <m:r>
                <m:t>x</m:t>
              </m:r>
            </m:sub>
          </m:sSub>
          <m:r>
            <m:rPr>
              <m:sty m:val="p"/>
            </m:rPr>
            <m:t>=</m:t>
          </m:r>
          <m:f>
            <m:fPr>
              <m:type m:val="bar"/>
            </m:fPr>
            <m:num>
              <m:r>
                <m:t>x</m:t>
              </m:r>
              <m:r>
                <m:rPr>
                  <m:sty m:val="p"/>
                </m:rPr>
                <m:t>−</m:t>
              </m:r>
              <m:sSub>
                <m:e>
                  <m:r>
                    <m:t>x</m:t>
                  </m:r>
                </m:e>
                <m:sub>
                  <m:r>
                    <m:t>a</m:t>
                  </m:r>
                </m:sub>
              </m:sSub>
            </m:num>
            <m:den>
              <m:sSub>
                <m:e>
                  <m:r>
                    <m:t>w</m:t>
                  </m:r>
                </m:e>
                <m:sub>
                  <m:r>
                    <m:t>a</m:t>
                  </m:r>
                </m:sub>
              </m:sSub>
            </m:den>
          </m:f>
          <m:r>
            <m:rPr>
              <m:sty m:val="p"/>
            </m:rPr>
            <m:t>,</m:t>
          </m:r>
          <m:r>
            <m:t> </m:t>
          </m:r>
          <m:sSub>
            <m:e>
              <m:r>
                <m:t>t</m:t>
              </m:r>
            </m:e>
            <m:sub>
              <m:r>
                <m:t>y</m:t>
              </m:r>
            </m:sub>
          </m:sSub>
          <m:r>
            <m:rPr>
              <m:sty m:val="p"/>
            </m:rPr>
            <m:t>=</m:t>
          </m:r>
          <m:f>
            <m:fPr>
              <m:type m:val="bar"/>
            </m:fPr>
            <m:num>
              <m:r>
                <m:t>y</m:t>
              </m:r>
              <m:r>
                <m:rPr>
                  <m:sty m:val="p"/>
                </m:rPr>
                <m:t>−</m:t>
              </m:r>
              <m:sSub>
                <m:e>
                  <m:r>
                    <m:t>y</m:t>
                  </m:r>
                </m:e>
                <m:sub>
                  <m:r>
                    <m:t>a</m:t>
                  </m:r>
                </m:sub>
              </m:sSub>
            </m:num>
            <m:den>
              <m:sSub>
                <m:e>
                  <m:r>
                    <m:t>h</m:t>
                  </m:r>
                </m:e>
                <m:sub>
                  <m:r>
                    <m:t>a</m:t>
                  </m:r>
                </m:sub>
              </m:sSub>
            </m:den>
          </m:f>
          <m:r>
            <m:rPr>
              <m:sty m:val="p"/>
            </m:rPr>
            <m:t>,</m:t>
          </m:r>
          <m:r>
            <m:t> </m:t>
          </m:r>
          <m:sSub>
            <m:e>
              <m:r>
                <m:t>t</m:t>
              </m:r>
            </m:e>
            <m:sub>
              <m:r>
                <m:t>w</m:t>
              </m:r>
            </m:sub>
          </m:sSub>
          <m:r>
            <m:rPr>
              <m:sty m:val="p"/>
            </m:rPr>
            <m:t>=</m:t>
          </m:r>
          <m:r>
            <m:rPr>
              <m:sty m:val="p"/>
            </m:rPr>
            <m:t>log</m:t>
          </m:r>
          <m:f>
            <m:fPr>
              <m:type m:val="bar"/>
            </m:fPr>
            <m:num>
              <m:r>
                <m:t>w</m:t>
              </m:r>
            </m:num>
            <m:den>
              <m:sSub>
                <m:e>
                  <m:r>
                    <m:t>w</m:t>
                  </m:r>
                </m:e>
                <m:sub>
                  <m:r>
                    <m:t>a</m:t>
                  </m:r>
                </m:sub>
              </m:sSub>
            </m:den>
          </m:f>
          <m:r>
            <m:rPr>
              <m:sty m:val="p"/>
            </m:rPr>
            <m:t>,</m:t>
          </m:r>
          <m:r>
            <m:t> </m:t>
          </m:r>
          <m:sSub>
            <m:e>
              <m:r>
                <m:t>t</m:t>
              </m:r>
            </m:e>
            <m:sub>
              <m:r>
                <m:t>h</m:t>
              </m:r>
            </m:sub>
          </m:sSub>
          <m:r>
            <m:rPr>
              <m:sty m:val="p"/>
            </m:rPr>
            <m:t>=</m:t>
          </m:r>
          <m:r>
            <m:rPr>
              <m:sty m:val="p"/>
            </m:rPr>
            <m:t>log</m:t>
          </m:r>
          <m:f>
            <m:fPr>
              <m:type m:val="bar"/>
            </m:fPr>
            <m:num>
              <m:r>
                <m:t>h</m:t>
              </m:r>
            </m:num>
            <m:den>
              <m:sSub>
                <m:e>
                  <m:r>
                    <m:t>h</m:t>
                  </m:r>
                </m:e>
                <m:sub>
                  <m:r>
                    <m:t>a</m:t>
                  </m:r>
                </m:sub>
              </m:sSub>
            </m:den>
          </m:f>
        </m:oMath>
      </m:oMathPara>
    </w:p>
    <w:p>
      <w:pPr>
        <w:pStyle w:val="FirstParagraph"/>
      </w:pPr>
      <w:r>
        <w:t xml:space="preserve">NMS 按照分数从高到低遍历检测框，移除与已保留框 IoU 大于阈值的重复框。IoU 定义为：</w:t>
      </w:r>
    </w:p>
    <w:p>
      <w:pPr>
        <w:pStyle w:val="BodyText"/>
      </w:pPr>
      <m:oMathPara>
        <m:oMathParaPr>
          <m:jc m:val="center"/>
        </m:oMathParaPr>
        <m:oMath>
          <m:r>
            <m:t>I</m:t>
          </m:r>
          <m:r>
            <m:t>o</m:t>
          </m:r>
          <m:r>
            <m:t>U</m:t>
          </m:r>
          <m:r>
            <m:rPr>
              <m:sty m:val="p"/>
            </m:rPr>
            <m:t>=</m:t>
          </m:r>
          <m:f>
            <m:fPr>
              <m:type m:val="bar"/>
            </m:fPr>
            <m:num>
              <m:d>
                <m:dPr>
                  <m:begChr m:val="|"/>
                  <m:endChr m:val="|"/>
                  <m:sepChr m:val=""/>
                  <m:grow/>
                </m:dPr>
                <m:e>
                  <m:r>
                    <m:t>A</m:t>
                  </m:r>
                  <m:r>
                    <m:rPr>
                      <m:sty m:val="p"/>
                    </m:rPr>
                    <m:t>∩</m:t>
                  </m:r>
                  <m:r>
                    <m:t>B</m:t>
                  </m:r>
                </m:e>
              </m:d>
            </m:num>
            <m:den>
              <m:d>
                <m:dPr>
                  <m:begChr m:val="|"/>
                  <m:endChr m:val="|"/>
                  <m:sepChr m:val=""/>
                  <m:grow/>
                </m:dPr>
                <m:e>
                  <m:r>
                    <m:t>A</m:t>
                  </m:r>
                  <m:r>
                    <m:rPr>
                      <m:sty m:val="p"/>
                    </m:rPr>
                    <m:t>∪</m:t>
                  </m:r>
                  <m:r>
                    <m:t>B</m:t>
                  </m:r>
                </m:e>
              </m:d>
            </m:den>
          </m:f>
        </m:oMath>
      </m:oMathPara>
    </w:p>
    <w:bookmarkEnd w:id="48"/>
    <w:bookmarkStart w:id="49" w:name="coco-平均精度"/>
    <w:p>
      <w:pPr>
        <w:pStyle w:val="Heading2"/>
      </w:pPr>
      <w:r>
        <w:t xml:space="preserve">5.6 COCO 平均精度</w:t>
      </w:r>
    </w:p>
    <w:p>
      <w:pPr>
        <w:pStyle w:val="FirstParagraph"/>
      </w:pPr>
      <w:r>
        <w:t xml:space="preserve">给定 IoU 阈值，对每个类别按置信度排序，逐点计算 Precision 和 Recall，绘制 PR 曲线并积分得到 AP：</w:t>
      </w:r>
    </w:p>
    <w:p>
      <w:pPr>
        <w:pStyle w:val="BodyText"/>
      </w:pPr>
      <m:oMathPara>
        <m:oMathParaPr>
          <m:jc m:val="center"/>
        </m:oMathParaPr>
        <m:oMath>
          <m:r>
            <m:t>A</m:t>
          </m:r>
          <m:r>
            <m:t>P</m:t>
          </m:r>
          <m:r>
            <m:rPr>
              <m:sty m:val="p"/>
            </m:rPr>
            <m:t>=</m:t>
          </m:r>
          <m:nary>
            <m:naryPr>
              <m:chr m:val="∫"/>
              <m:limLoc m:val="subSup"/>
              <m:subHide m:val="off"/>
              <m:supHide m:val="off"/>
            </m:naryPr>
            <m:sub>
              <m:r>
                <m:t>0</m:t>
              </m:r>
            </m:sub>
            <m:sup>
              <m:r>
                <m:t>1</m:t>
              </m:r>
            </m:sup>
            <m:e>
              <m:r>
                <m:t>P</m:t>
              </m:r>
            </m:e>
          </m:nary>
          <m:d>
            <m:dPr>
              <m:begChr m:val="("/>
              <m:endChr m:val=")"/>
              <m:sepChr m:val=""/>
              <m:grow/>
            </m:dPr>
            <m:e>
              <m:r>
                <m:t>R</m:t>
              </m:r>
            </m:e>
          </m:d>
          <m:r>
            <m:t> </m:t>
          </m:r>
          <m:r>
            <m:t>d</m:t>
          </m:r>
          <m:r>
            <m:t>R</m:t>
          </m:r>
        </m:oMath>
      </m:oMathPara>
    </w:p>
    <w:p>
      <w:pPr>
        <w:pStyle w:val="FirstParagraph"/>
      </w:pPr>
      <w:r>
        <w:t xml:space="preserve">本课题最终指标 mAP@0.5:0.95 为 10 个 IoU 阈值下 AP 的平均值。</w:t>
      </w:r>
    </w:p>
    <w:bookmarkEnd w:id="49"/>
    <w:bookmarkEnd w:id="50"/>
    <w:bookmarkStart w:id="51" w:name="代码实现"/>
    <w:p>
      <w:pPr>
        <w:pStyle w:val="Heading1"/>
      </w:pPr>
      <w:r>
        <w:t xml:space="preserve">6 代码实现</w:t>
      </w:r>
    </w:p>
    <w:p>
      <w:pPr>
        <w:pStyle w:val="FirstParagraph"/>
      </w:pPr>
      <w:r>
        <w:t xml:space="preserve">核心代码位于</w:t>
      </w:r>
      <w:r>
        <w:t xml:space="preserve"> </w:t>
      </w:r>
      <w:r>
        <w:rPr>
          <w:rStyle w:val="VerbatimChar"/>
        </w:rPr>
        <w:t xml:space="preserve">src/dlcpd25_v2/</w:t>
      </w:r>
      <w:r>
        <w:t xml:space="preserve">：</w:t>
      </w:r>
    </w:p>
    <w:p>
      <w:pPr>
        <w:pStyle w:val="SourceCode"/>
      </w:pPr>
      <w:r>
        <w:rPr>
          <w:rStyle w:val="VerbatimChar"/>
        </w:rPr>
        <w:t xml:space="preserve">src/dlcpd25_v2/</w:t>
      </w:r>
      <w:r>
        <w:br/>
      </w:r>
      <w:r>
        <w:rPr>
          <w:rStyle w:val="VerbatimChar"/>
        </w:rPr>
        <w:t xml:space="preserve">|-- common.py                          仓库路径与配置辅助</w:t>
      </w:r>
      <w:r>
        <w:br/>
      </w:r>
      <w:r>
        <w:rPr>
          <w:rStyle w:val="VerbatimChar"/>
        </w:rPr>
        <w:t xml:space="preserve">|-- data/classification_dataset.py     DLCPD-25 冻结清单数据集</w:t>
      </w:r>
      <w:r>
        <w:br/>
      </w:r>
      <w:r>
        <w:rPr>
          <w:rStyle w:val="VerbatimChar"/>
        </w:rPr>
        <w:t xml:space="preserve">|-- classification/</w:t>
      </w:r>
      <w:r>
        <w:br/>
      </w:r>
      <w:r>
        <w:rPr>
          <w:rStyle w:val="VerbatimChar"/>
        </w:rPr>
        <w:t xml:space="preserve">|   |-- model.py                       ConvNeXt-Tiny 分类模型</w:t>
      </w:r>
      <w:r>
        <w:br/>
      </w:r>
      <w:r>
        <w:rPr>
          <w:rStyle w:val="VerbatimChar"/>
        </w:rPr>
        <w:t xml:space="preserve">|   |-- losses.py                      Focal Loss 与辅助损失</w:t>
      </w:r>
      <w:r>
        <w:br/>
      </w:r>
      <w:r>
        <w:rPr>
          <w:rStyle w:val="VerbatimChar"/>
        </w:rPr>
        <w:t xml:space="preserve">|   |-- metrics.py                     Top-K、Macro-F1、混淆矩阵</w:t>
      </w:r>
      <w:r>
        <w:br/>
      </w:r>
      <w:r>
        <w:rPr>
          <w:rStyle w:val="VerbatimChar"/>
        </w:rPr>
        <w:t xml:space="preserve">|   |-- transforms.py                  训练/验证图像变换</w:t>
      </w:r>
      <w:r>
        <w:br/>
      </w:r>
      <w:r>
        <w:rPr>
          <w:rStyle w:val="VerbatimChar"/>
        </w:rPr>
        <w:t xml:space="preserve">|   |-- trainer.py                     训练循环、EMA、早停、checkpoint</w:t>
      </w:r>
      <w:r>
        <w:br/>
      </w:r>
      <w:r>
        <w:rPr>
          <w:rStyle w:val="VerbatimChar"/>
        </w:rPr>
        <w:t xml:space="preserve">|   |-- train.py                       训练入口</w:t>
      </w:r>
      <w:r>
        <w:br/>
      </w:r>
      <w:r>
        <w:rPr>
          <w:rStyle w:val="VerbatimChar"/>
        </w:rPr>
        <w:t xml:space="preserve">|   `-- evaluate.py                    测试集最终评估</w:t>
      </w:r>
      <w:r>
        <w:br/>
      </w:r>
      <w:r>
        <w:rPr>
          <w:rStyle w:val="VerbatimChar"/>
        </w:rPr>
        <w:t xml:space="preserve">|-- detection/</w:t>
      </w:r>
      <w:r>
        <w:br/>
      </w:r>
      <w:r>
        <w:rPr>
          <w:rStyle w:val="VerbatimChar"/>
        </w:rPr>
        <w:t xml:space="preserve">|   |-- dataset.py                     IP102 检测数据集</w:t>
      </w:r>
      <w:r>
        <w:br/>
      </w:r>
      <w:r>
        <w:rPr>
          <w:rStyle w:val="VerbatimChar"/>
        </w:rPr>
        <w:t xml:space="preserve">|   |-- model.py                       ConvNeXt-Tiny-FPN + Faster R-CNN</w:t>
      </w:r>
      <w:r>
        <w:br/>
      </w:r>
      <w:r>
        <w:rPr>
          <w:rStyle w:val="VerbatimChar"/>
        </w:rPr>
        <w:t xml:space="preserve">|   |-- metrics.py                     COCO mAP 评估</w:t>
      </w:r>
      <w:r>
        <w:br/>
      </w:r>
      <w:r>
        <w:rPr>
          <w:rStyle w:val="VerbatimChar"/>
        </w:rPr>
        <w:t xml:space="preserve">|   |-- trainer.py                     检测训练循环</w:t>
      </w:r>
      <w:r>
        <w:br/>
      </w:r>
      <w:r>
        <w:rPr>
          <w:rStyle w:val="VerbatimChar"/>
        </w:rPr>
        <w:t xml:space="preserve">|   |-- train.py                       检测训练入口</w:t>
      </w:r>
      <w:r>
        <w:br/>
      </w:r>
      <w:r>
        <w:rPr>
          <w:rStyle w:val="VerbatimChar"/>
        </w:rPr>
        <w:t xml:space="preserve">|   `-- evaluate.py                    检测测试集评估</w:t>
      </w:r>
      <w:r>
        <w:br/>
      </w:r>
      <w:r>
        <w:rPr>
          <w:rStyle w:val="VerbatimChar"/>
        </w:rPr>
        <w:t xml:space="preserve">|-- serving/joint_predictor.py         双模型推理编排与标注</w:t>
      </w:r>
      <w:r>
        <w:br/>
      </w:r>
      <w:r>
        <w:rPr>
          <w:rStyle w:val="VerbatimChar"/>
        </w:rPr>
        <w:t xml:space="preserve">`-- web/</w:t>
      </w:r>
      <w:r>
        <w:br/>
      </w:r>
      <w:r>
        <w:rPr>
          <w:rStyle w:val="VerbatimChar"/>
        </w:rPr>
        <w:t xml:space="preserve">    |-- app.py                         双模型 Web 应用</w:t>
      </w:r>
      <w:r>
        <w:br/>
      </w:r>
      <w:r>
        <w:rPr>
          <w:rStyle w:val="VerbatimChar"/>
        </w:rPr>
        <w:t xml:space="preserve">    `-- progress.py                    训练进度看板</w:t>
      </w:r>
    </w:p>
    <w:p>
      <w:pPr>
        <w:pStyle w:val="FirstParagraph"/>
      </w:pPr>
      <w:r>
        <w:t xml:space="preserve">关键实现说明：</w:t>
      </w:r>
    </w:p>
    <w:p>
      <w:pPr>
        <w:numPr>
          <w:ilvl w:val="0"/>
          <w:numId w:val="1003"/>
        </w:numPr>
        <w:pStyle w:val="Compact"/>
      </w:pPr>
      <w:r>
        <w:t xml:space="preserve">数据集不扫描目录，只读取冻结的</w:t>
      </w:r>
      <w:r>
        <w:t xml:space="preserve"> </w:t>
      </w:r>
      <w:r>
        <w:rPr>
          <w:rStyle w:val="VerbatimChar"/>
        </w:rPr>
        <w:t xml:space="preserve">artifacts/data</w:t>
      </w:r>
      <w:r>
        <w:t xml:space="preserve"> </w:t>
      </w:r>
      <w:r>
        <w:t xml:space="preserve">合同；</w:t>
      </w:r>
    </w:p>
    <w:p>
      <w:pPr>
        <w:numPr>
          <w:ilvl w:val="0"/>
          <w:numId w:val="1003"/>
        </w:numPr>
        <w:pStyle w:val="Compact"/>
      </w:pPr>
      <w:r>
        <w:t xml:space="preserve">分类训练使用</w:t>
      </w:r>
      <w:r>
        <w:t xml:space="preserve"> </w:t>
      </w:r>
      <w:r>
        <w:rPr>
          <w:rStyle w:val="VerbatimChar"/>
        </w:rPr>
        <w:t xml:space="preserve">WeightedRandomSampler</w:t>
      </w:r>
      <w:r>
        <w:t xml:space="preserve"> </w:t>
      </w:r>
      <w:r>
        <w:t xml:space="preserve">实现类别平衡；</w:t>
      </w:r>
    </w:p>
    <w:p>
      <w:pPr>
        <w:numPr>
          <w:ilvl w:val="0"/>
          <w:numId w:val="1003"/>
        </w:numPr>
        <w:pStyle w:val="Compact"/>
      </w:pPr>
      <w:r>
        <w:t xml:space="preserve">检测训练使用 Repeat Factor Sampling 实现稀有害虫重复采样；</w:t>
      </w:r>
    </w:p>
    <w:p>
      <w:pPr>
        <w:numPr>
          <w:ilvl w:val="0"/>
          <w:numId w:val="1003"/>
        </w:numPr>
        <w:pStyle w:val="Compact"/>
      </w:pPr>
      <w:r>
        <w:t xml:space="preserve">训练过程以 EMA 权重进行验证和保存；</w:t>
      </w:r>
    </w:p>
    <w:p>
      <w:pPr>
        <w:numPr>
          <w:ilvl w:val="0"/>
          <w:numId w:val="1003"/>
        </w:numPr>
        <w:pStyle w:val="Compact"/>
      </w:pPr>
      <w:r>
        <w:t xml:space="preserve">测试集与训练/验证完全隔离，仅在配置冻结后评估一次。</w:t>
      </w:r>
    </w:p>
    <w:bookmarkEnd w:id="51"/>
    <w:bookmarkStart w:id="62" w:name="实验过程"/>
    <w:p>
      <w:pPr>
        <w:pStyle w:val="Heading1"/>
      </w:pPr>
      <w:r>
        <w:t xml:space="preserve">7 实验过程</w:t>
      </w:r>
    </w:p>
    <w:bookmarkStart w:id="52" w:name="数据工程"/>
    <w:p>
      <w:pPr>
        <w:pStyle w:val="Heading2"/>
      </w:pPr>
      <w:r>
        <w:t xml:space="preserve">7.1 数据工程</w:t>
      </w:r>
    </w:p>
    <w:p>
      <w:pPr>
        <w:numPr>
          <w:ilvl w:val="0"/>
          <w:numId w:val="1004"/>
        </w:numPr>
        <w:pStyle w:val="Compact"/>
      </w:pPr>
      <w:r>
        <w:t xml:space="preserve">DLCPD-25：203 类完整审计，生成 221,396 张图片的 SHA-256 清单和固定 train/val/test 划分；</w:t>
      </w:r>
    </w:p>
    <w:p>
      <w:pPr>
        <w:numPr>
          <w:ilvl w:val="0"/>
          <w:numId w:val="1004"/>
        </w:numPr>
        <w:pStyle w:val="Compact"/>
      </w:pPr>
      <w:r>
        <w:t xml:space="preserve">IP102：解析 18,976 个 VOC 标注，去重异常 XML，过滤无效框，保留官方 test 划分；</w:t>
      </w:r>
    </w:p>
    <w:p>
      <w:pPr>
        <w:numPr>
          <w:ilvl w:val="0"/>
          <w:numId w:val="1004"/>
        </w:numPr>
        <w:pStyle w:val="Compact"/>
      </w:pPr>
      <w:r>
        <w:t xml:space="preserve">训练/验证/测试样本量：分类 177,021 / 22,178 / 22,179；检测 12,142 / 3,036 / 3,798。</w:t>
      </w:r>
    </w:p>
    <w:bookmarkEnd w:id="52"/>
    <w:bookmarkStart w:id="56" w:name="分类训练"/>
    <w:p>
      <w:pPr>
        <w:pStyle w:val="Heading2"/>
      </w:pPr>
      <w:r>
        <w:t xml:space="preserve">7.2 分类训练</w:t>
      </w:r>
    </w:p>
    <w:p>
      <w:pPr>
        <w:numPr>
          <w:ilvl w:val="0"/>
          <w:numId w:val="1005"/>
        </w:numPr>
        <w:pStyle w:val="Compact"/>
      </w:pPr>
      <w:r>
        <w:t xml:space="preserve">模型：ConvNeXt-Tiny，ImageNet-1K 预训练；</w:t>
      </w:r>
    </w:p>
    <w:p>
      <w:pPr>
        <w:numPr>
          <w:ilvl w:val="0"/>
          <w:numId w:val="1005"/>
        </w:numPr>
        <w:pStyle w:val="Compact"/>
      </w:pPr>
      <w:r>
        <w:t xml:space="preserve">输入：384×384；</w:t>
      </w:r>
    </w:p>
    <w:p>
      <w:pPr>
        <w:numPr>
          <w:ilvl w:val="0"/>
          <w:numId w:val="1005"/>
        </w:numPr>
        <w:pStyle w:val="Compact"/>
      </w:pPr>
      <w:r>
        <w:t xml:space="preserve">损失：Focal Loss + 宿主辅助 CE + 属性辅助 CE；</w:t>
      </w:r>
    </w:p>
    <w:p>
      <w:pPr>
        <w:numPr>
          <w:ilvl w:val="0"/>
          <w:numId w:val="1005"/>
        </w:numPr>
        <w:pStyle w:val="Compact"/>
      </w:pPr>
      <w:r>
        <w:t xml:space="preserve">优化：AdamW，backbone lr=5e-5，head lr=3e-4，warmup 3 epochs + cosine；</w:t>
      </w:r>
    </w:p>
    <w:p>
      <w:pPr>
        <w:numPr>
          <w:ilvl w:val="0"/>
          <w:numId w:val="1005"/>
        </w:numPr>
        <w:pStyle w:val="Compact"/>
      </w:pPr>
      <w:r>
        <w:t xml:space="preserve">训练计划 40 epochs，第 5 轮验证 Macro-F1 最高，第 6~11 轮未提升，触发早停。</w:t>
      </w:r>
    </w:p>
    <w:p>
      <w:pPr>
        <w:pStyle w:val="CaptionedFigure"/>
      </w:pPr>
      <w:r>
        <w:drawing>
          <wp:inline>
            <wp:extent cx="5334000" cy="2036618"/>
            <wp:effectExtent b="0" l="0" r="0" t="0"/>
            <wp:docPr descr="分类训练曲线" title="" id="54" name="Picture"/>
            <a:graphic>
              <a:graphicData uri="http://schemas.openxmlformats.org/drawingml/2006/picture">
                <pic:pic>
                  <pic:nvPicPr>
                    <pic:cNvPr descr="../results/figures/classification_history.png" id="55" name="Picture"/>
                    <pic:cNvPicPr>
                      <a:picLocks noChangeArrowheads="1" noChangeAspect="1"/>
                    </pic:cNvPicPr>
                  </pic:nvPicPr>
                  <pic:blipFill>
                    <a:blip r:embed="rId53"/>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分类训练曲线</w:t>
      </w:r>
    </w:p>
    <w:bookmarkEnd w:id="56"/>
    <w:bookmarkStart w:id="60" w:name="检测训练"/>
    <w:p>
      <w:pPr>
        <w:pStyle w:val="Heading2"/>
      </w:pPr>
      <w:r>
        <w:t xml:space="preserve">7.3 检测训练</w:t>
      </w:r>
    </w:p>
    <w:p>
      <w:pPr>
        <w:numPr>
          <w:ilvl w:val="0"/>
          <w:numId w:val="1006"/>
        </w:numPr>
        <w:pStyle w:val="Compact"/>
      </w:pPr>
      <w:r>
        <w:t xml:space="preserve">模型：ConvNeXt-Tiny-FPN + Faster R-CNN；</w:t>
      </w:r>
    </w:p>
    <w:p>
      <w:pPr>
        <w:numPr>
          <w:ilvl w:val="0"/>
          <w:numId w:val="1006"/>
        </w:numPr>
        <w:pStyle w:val="Compact"/>
      </w:pPr>
      <w:r>
        <w:t xml:space="preserve">骨干初始化：加载分类专家 best.pt 的 EMA 骨干权重；</w:t>
      </w:r>
    </w:p>
    <w:p>
      <w:pPr>
        <w:numPr>
          <w:ilvl w:val="0"/>
          <w:numId w:val="1006"/>
        </w:numPr>
        <w:pStyle w:val="Compact"/>
      </w:pPr>
      <w:r>
        <w:t xml:space="preserve">输入：最长边 640；</w:t>
      </w:r>
    </w:p>
    <w:p>
      <w:pPr>
        <w:numPr>
          <w:ilvl w:val="0"/>
          <w:numId w:val="1006"/>
        </w:numPr>
        <w:pStyle w:val="Compact"/>
      </w:pPr>
      <w:r>
        <w:t xml:space="preserve">优化：AdamW，backbone lr=1e-5，head lr=1e-4；</w:t>
      </w:r>
    </w:p>
    <w:p>
      <w:pPr>
        <w:numPr>
          <w:ilvl w:val="0"/>
          <w:numId w:val="1006"/>
        </w:numPr>
        <w:pStyle w:val="Compact"/>
      </w:pPr>
      <w:r>
        <w:t xml:space="preserve">训练计划 40 epochs，第 8 轮验证 mAP 最高，第 9~14 轮未提升，触发早停。</w:t>
      </w:r>
    </w:p>
    <w:p>
      <w:pPr>
        <w:pStyle w:val="CaptionedFigure"/>
      </w:pPr>
      <w:r>
        <w:drawing>
          <wp:inline>
            <wp:extent cx="5334000" cy="2036618"/>
            <wp:effectExtent b="0" l="0" r="0" t="0"/>
            <wp:docPr descr="检测训练曲线" title="" id="58" name="Picture"/>
            <a:graphic>
              <a:graphicData uri="http://schemas.openxmlformats.org/drawingml/2006/picture">
                <pic:pic>
                  <pic:nvPicPr>
                    <pic:cNvPr descr="../results/figures/detection_history.png" id="59" name="Picture"/>
                    <pic:cNvPicPr>
                      <a:picLocks noChangeArrowheads="1" noChangeAspect="1"/>
                    </pic:cNvPicPr>
                  </pic:nvPicPr>
                  <pic:blipFill>
                    <a:blip r:embed="rId57"/>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检测训练曲线</w:t>
      </w:r>
    </w:p>
    <w:bookmarkEnd w:id="60"/>
    <w:bookmarkStart w:id="61" w:name="测试集最终评估"/>
    <w:p>
      <w:pPr>
        <w:pStyle w:val="Heading2"/>
      </w:pPr>
      <w:r>
        <w:t xml:space="preserve">7.4 测试集最终评估</w:t>
      </w:r>
    </w:p>
    <w:p>
      <w:pPr>
        <w:pStyle w:val="FirstParagraph"/>
      </w:pPr>
      <w:r>
        <w:t xml:space="preserve">训练配置和模型选择完全冻结后，分类和检测各在官方测试集上评估一次。</w:t>
      </w:r>
    </w:p>
    <w:bookmarkEnd w:id="61"/>
    <w:bookmarkEnd w:id="62"/>
    <w:bookmarkStart w:id="84" w:name="结果分析"/>
    <w:p>
      <w:pPr>
        <w:pStyle w:val="Heading1"/>
      </w:pPr>
      <w:r>
        <w:t xml:space="preserve">8 结果分析</w:t>
      </w:r>
    </w:p>
    <w:bookmarkStart w:id="66" w:name="分类结果"/>
    <w:p>
      <w:pPr>
        <w:pStyle w:val="Heading2"/>
      </w:pPr>
      <w:r>
        <w:t xml:space="preserve">8.1 分类结果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right"/>
            </w:pPr>
            <w:r>
              <w:t xml:space="preserve">测试集结果</w:t>
            </w:r>
          </w:p>
        </w:tc>
      </w:tr>
      <w:tr>
        <w:tc>
          <w:tcPr/>
          <w:p>
            <w:pPr>
              <w:pStyle w:val="Compact"/>
              <w:jc w:val="left"/>
            </w:pPr>
            <w:r>
              <w:t xml:space="preserve">Top-1</w:t>
            </w:r>
          </w:p>
        </w:tc>
        <w:tc>
          <w:tcPr/>
          <w:p>
            <w:pPr>
              <w:pStyle w:val="Compact"/>
              <w:jc w:val="right"/>
            </w:pPr>
            <w:r>
              <w:t xml:space="preserve">89.2240%</w:t>
            </w:r>
          </w:p>
        </w:tc>
      </w:tr>
      <w:tr>
        <w:tc>
          <w:tcPr/>
          <w:p>
            <w:pPr>
              <w:pStyle w:val="Compact"/>
              <w:jc w:val="left"/>
            </w:pPr>
            <w:r>
              <w:t xml:space="preserve">Top-5</w:t>
            </w:r>
          </w:p>
        </w:tc>
        <w:tc>
          <w:tcPr/>
          <w:p>
            <w:pPr>
              <w:pStyle w:val="Compact"/>
              <w:jc w:val="right"/>
            </w:pPr>
            <w:r>
              <w:t xml:space="preserve">97.7366%</w:t>
            </w:r>
          </w:p>
        </w:tc>
      </w:tr>
      <w:tr>
        <w:tc>
          <w:tcPr/>
          <w:p>
            <w:pPr>
              <w:pStyle w:val="Compact"/>
              <w:jc w:val="left"/>
            </w:pPr>
            <w:r>
              <w:t xml:space="preserve">Macro-F1</w:t>
            </w:r>
          </w:p>
        </w:tc>
        <w:tc>
          <w:tcPr/>
          <w:p>
            <w:pPr>
              <w:pStyle w:val="Compact"/>
              <w:jc w:val="right"/>
            </w:pPr>
            <w:r>
              <w:t xml:space="preserve">75.3537%</w:t>
            </w:r>
          </w:p>
        </w:tc>
      </w:tr>
      <w:tr>
        <w:tc>
          <w:tcPr/>
          <w:p>
            <w:pPr>
              <w:pStyle w:val="Compact"/>
              <w:jc w:val="left"/>
            </w:pPr>
            <w:r>
              <w:t xml:space="preserve">Balanced Accuracy</w:t>
            </w:r>
          </w:p>
        </w:tc>
        <w:tc>
          <w:tcPr/>
          <w:p>
            <w:pPr>
              <w:pStyle w:val="Compact"/>
              <w:jc w:val="right"/>
            </w:pPr>
            <w:r>
              <w:t xml:space="preserve">77.5782%</w:t>
            </w:r>
          </w:p>
        </w:tc>
      </w:tr>
      <w:tr>
        <w:tc>
          <w:tcPr/>
          <w:p>
            <w:pPr>
              <w:pStyle w:val="Compact"/>
              <w:jc w:val="left"/>
            </w:pPr>
            <w:r>
              <w:t xml:space="preserve">测试样本数</w:t>
            </w:r>
          </w:p>
        </w:tc>
        <w:tc>
          <w:tcPr/>
          <w:p>
            <w:pPr>
              <w:pStyle w:val="Compact"/>
              <w:jc w:val="right"/>
            </w:pPr>
            <w:r>
              <w:t xml:space="preserve">22,179</w:t>
            </w:r>
          </w:p>
        </w:tc>
      </w:tr>
    </w:tbl>
    <w:p>
      <w:pPr>
        <w:pStyle w:val="CaptionedFigure"/>
      </w:pPr>
      <w:r>
        <w:drawing>
          <wp:inline>
            <wp:extent cx="4778773" cy="3308381"/>
            <wp:effectExtent b="0" l="0" r="0" t="0"/>
            <wp:docPr descr="分类测试指标" title="" id="64" name="Picture"/>
            <a:graphic>
              <a:graphicData uri="http://schemas.openxmlformats.org/drawingml/2006/picture">
                <pic:pic>
                  <pic:nvPicPr>
                    <pic:cNvPr descr="../results/figures/classification_metrics.png" id="65" name="Picture"/>
                    <pic:cNvPicPr>
                      <a:picLocks noChangeArrowheads="1" noChangeAspect="1"/>
                    </pic:cNvPicPr>
                  </pic:nvPicPr>
                  <pic:blipFill>
                    <a:blip r:embed="rId63"/>
                    <a:stretch>
                      <a:fillRect/>
                    </a:stretch>
                  </pic:blipFill>
                  <pic:spPr bwMode="auto">
                    <a:xfrm>
                      <a:off x="0" y="0"/>
                      <a:ext cx="4778773" cy="3308381"/>
                    </a:xfrm>
                    <a:prstGeom prst="rect">
                      <a:avLst/>
                    </a:prstGeom>
                    <a:noFill/>
                    <a:ln w="9525">
                      <a:noFill/>
                      <a:headEnd/>
                      <a:tailEnd/>
                    </a:ln>
                  </pic:spPr>
                </pic:pic>
              </a:graphicData>
            </a:graphic>
          </wp:inline>
        </w:drawing>
      </w:r>
    </w:p>
    <w:p>
      <w:pPr>
        <w:pStyle w:val="ImageCaption"/>
      </w:pPr>
      <w:r>
        <w:t xml:space="preserve">分类测试指标</w:t>
      </w:r>
    </w:p>
    <w:p>
      <w:pPr>
        <w:pStyle w:val="BodyText"/>
      </w:pPr>
      <w:r>
        <w:t xml:space="preserve">结果表明：Top-5 达到 97.74%，说明模型对绝大多数样本能够将真实类别排进前五；Macro-F1 达到 75.35%，说明模型对长尾类别具有较好的均衡识别能力。主要混淆集中在白粉病、黑星病/黑腐病、叶枯病等外观高度相似的病害之间。</w:t>
      </w:r>
    </w:p>
    <w:bookmarkEnd w:id="66"/>
    <w:bookmarkStart w:id="70" w:name="检测结果"/>
    <w:p>
      <w:pPr>
        <w:pStyle w:val="Heading2"/>
      </w:pPr>
      <w:r>
        <w:t xml:space="preserve">8.2 检测结果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right"/>
            </w:pPr>
            <w:r>
              <w:t xml:space="preserve">测试集结果</w:t>
            </w:r>
          </w:p>
        </w:tc>
      </w:tr>
      <w:tr>
        <w:tc>
          <w:tcPr/>
          <w:p>
            <w:pPr>
              <w:pStyle w:val="Compact"/>
              <w:jc w:val="left"/>
            </w:pPr>
            <w:r>
              <w:t xml:space="preserve">mAP@0.5:0.95</w:t>
            </w:r>
          </w:p>
        </w:tc>
        <w:tc>
          <w:tcPr/>
          <w:p>
            <w:pPr>
              <w:pStyle w:val="Compact"/>
              <w:jc w:val="right"/>
            </w:pPr>
            <w:r>
              <w:t xml:space="preserve">34.3449%</w:t>
            </w:r>
          </w:p>
        </w:tc>
      </w:tr>
      <w:tr>
        <w:tc>
          <w:tcPr/>
          <w:p>
            <w:pPr>
              <w:pStyle w:val="Compact"/>
              <w:jc w:val="left"/>
            </w:pPr>
            <w:r>
              <w:t xml:space="preserve">AP50</w:t>
            </w:r>
          </w:p>
        </w:tc>
        <w:tc>
          <w:tcPr/>
          <w:p>
            <w:pPr>
              <w:pStyle w:val="Compact"/>
              <w:jc w:val="right"/>
            </w:pPr>
            <w:r>
              <w:t xml:space="preserve">59.6817%</w:t>
            </w:r>
          </w:p>
        </w:tc>
      </w:tr>
      <w:tr>
        <w:tc>
          <w:tcPr/>
          <w:p>
            <w:pPr>
              <w:pStyle w:val="Compact"/>
              <w:jc w:val="left"/>
            </w:pPr>
            <w:r>
              <w:t xml:space="preserve">AP75</w:t>
            </w:r>
          </w:p>
        </w:tc>
        <w:tc>
          <w:tcPr/>
          <w:p>
            <w:pPr>
              <w:pStyle w:val="Compact"/>
              <w:jc w:val="right"/>
            </w:pPr>
            <w:r>
              <w:t xml:space="preserve">34.8622%</w:t>
            </w:r>
          </w:p>
        </w:tc>
      </w:tr>
      <w:tr>
        <w:tc>
          <w:tcPr/>
          <w:p>
            <w:pPr>
              <w:pStyle w:val="Compact"/>
              <w:jc w:val="left"/>
            </w:pPr>
            <w:r>
              <w:t xml:space="preserve">AR@100</w:t>
            </w:r>
          </w:p>
        </w:tc>
        <w:tc>
          <w:tcPr/>
          <w:p>
            <w:pPr>
              <w:pStyle w:val="Compact"/>
              <w:jc w:val="right"/>
            </w:pPr>
            <w:r>
              <w:t xml:space="preserve">54.2029%</w:t>
            </w:r>
          </w:p>
        </w:tc>
      </w:tr>
      <w:tr>
        <w:tc>
          <w:tcPr/>
          <w:p>
            <w:pPr>
              <w:pStyle w:val="Compact"/>
              <w:jc w:val="left"/>
            </w:pPr>
            <w:r>
              <w:t xml:space="preserve">Precision@0.5</w:t>
            </w:r>
          </w:p>
        </w:tc>
        <w:tc>
          <w:tcPr/>
          <w:p>
            <w:pPr>
              <w:pStyle w:val="Compact"/>
              <w:jc w:val="right"/>
            </w:pPr>
            <w:r>
              <w:t xml:space="preserve">88.1562%</w:t>
            </w:r>
          </w:p>
        </w:tc>
      </w:tr>
      <w:tr>
        <w:tc>
          <w:tcPr/>
          <w:p>
            <w:pPr>
              <w:pStyle w:val="Compact"/>
              <w:jc w:val="left"/>
            </w:pPr>
            <w:r>
              <w:t xml:space="preserve">Recall@0.5</w:t>
            </w:r>
          </w:p>
        </w:tc>
        <w:tc>
          <w:tcPr/>
          <w:p>
            <w:pPr>
              <w:pStyle w:val="Compact"/>
              <w:jc w:val="right"/>
            </w:pPr>
            <w:r>
              <w:t xml:space="preserve">76.7102%</w:t>
            </w:r>
          </w:p>
        </w:tc>
      </w:tr>
    </w:tbl>
    <w:p>
      <w:pPr>
        <w:pStyle w:val="CaptionedFigure"/>
      </w:pPr>
      <w:r>
        <w:drawing>
          <wp:inline>
            <wp:extent cx="4778773" cy="3308381"/>
            <wp:effectExtent b="0" l="0" r="0" t="0"/>
            <wp:docPr descr="检测测试指标" title="" id="68" name="Picture"/>
            <a:graphic>
              <a:graphicData uri="http://schemas.openxmlformats.org/drawingml/2006/picture">
                <pic:pic>
                  <pic:nvPicPr>
                    <pic:cNvPr descr="../results/figures/detection_metrics.png" id="69" name="Picture"/>
                    <pic:cNvPicPr>
                      <a:picLocks noChangeArrowheads="1" noChangeAspect="1"/>
                    </pic:cNvPicPr>
                  </pic:nvPicPr>
                  <pic:blipFill>
                    <a:blip r:embed="rId67"/>
                    <a:stretch>
                      <a:fillRect/>
                    </a:stretch>
                  </pic:blipFill>
                  <pic:spPr bwMode="auto">
                    <a:xfrm>
                      <a:off x="0" y="0"/>
                      <a:ext cx="4778773" cy="3308381"/>
                    </a:xfrm>
                    <a:prstGeom prst="rect">
                      <a:avLst/>
                    </a:prstGeom>
                    <a:noFill/>
                    <a:ln w="9525">
                      <a:noFill/>
                      <a:headEnd/>
                      <a:tailEnd/>
                    </a:ln>
                  </pic:spPr>
                </pic:pic>
              </a:graphicData>
            </a:graphic>
          </wp:inline>
        </w:drawing>
      </w:r>
    </w:p>
    <w:p>
      <w:pPr>
        <w:pStyle w:val="ImageCaption"/>
      </w:pPr>
      <w:r>
        <w:t xml:space="preserve">检测测试指标</w:t>
      </w:r>
    </w:p>
    <w:p>
      <w:pPr>
        <w:pStyle w:val="BodyText"/>
      </w:pPr>
      <w:r>
        <w:t xml:space="preserve">结果表明：检测模型 Precision 较高，误报较少；但 AP50 和 Recall 仍有提升空间，主要原因是 96 类害虫外观相似、部分稀有害虫训练框不足、小目标检测困难。</w:t>
      </w:r>
    </w:p>
    <w:bookmarkEnd w:id="70"/>
    <w:bookmarkStart w:id="83" w:name="系统运行截图"/>
    <w:p>
      <w:pPr>
        <w:pStyle w:val="Heading2"/>
      </w:pPr>
      <w:r>
        <w:t xml:space="preserve">8.3 系统运行截图</w:t>
      </w:r>
    </w:p>
    <w:p>
      <w:pPr>
        <w:pStyle w:val="CaptionedFigure"/>
      </w:pPr>
      <w:r>
        <w:drawing>
          <wp:inline>
            <wp:extent cx="5334000" cy="3583781"/>
            <wp:effectExtent b="0" l="0" r="0" t="0"/>
            <wp:docPr descr="Web 首页" title="" id="72" name="Picture"/>
            <a:graphic>
              <a:graphicData uri="http://schemas.openxmlformats.org/drawingml/2006/picture">
                <pic:pic>
                  <pic:nvPicPr>
                    <pic:cNvPr descr="../results/screenshots/web-home.png" id="73" name="Picture"/>
                    <pic:cNvPicPr>
                      <a:picLocks noChangeArrowheads="1" noChangeAspect="1"/>
                    </pic:cNvPicPr>
                  </pic:nvPicPr>
                  <pic:blipFill>
                    <a:blip r:embed="rId71"/>
                    <a:stretch>
                      <a:fillRect/>
                    </a:stretch>
                  </pic:blipFill>
                  <pic:spPr bwMode="auto">
                    <a:xfrm>
                      <a:off x="0" y="0"/>
                      <a:ext cx="5334000" cy="3583781"/>
                    </a:xfrm>
                    <a:prstGeom prst="rect">
                      <a:avLst/>
                    </a:prstGeom>
                    <a:noFill/>
                    <a:ln w="9525">
                      <a:noFill/>
                      <a:headEnd/>
                      <a:tailEnd/>
                    </a:ln>
                  </pic:spPr>
                </pic:pic>
              </a:graphicData>
            </a:graphic>
          </wp:inline>
        </w:drawing>
      </w:r>
    </w:p>
    <w:p>
      <w:pPr>
        <w:pStyle w:val="ImageCaption"/>
      </w:pPr>
      <w:r>
        <w:t xml:space="preserve">Web 首页</w:t>
      </w:r>
    </w:p>
    <w:p>
      <w:pPr>
        <w:pStyle w:val="CaptionedFigure"/>
      </w:pPr>
      <w:r>
        <w:drawing>
          <wp:inline>
            <wp:extent cx="5334000" cy="3750468"/>
            <wp:effectExtent b="0" l="0" r="0" t="0"/>
            <wp:docPr descr="检测结果案例 1" title="" id="75" name="Picture"/>
            <a:graphic>
              <a:graphicData uri="http://schemas.openxmlformats.org/drawingml/2006/picture">
                <pic:pic>
                  <pic:nvPicPr>
                    <pic:cNvPr descr="../results/screenshots/result-case1.png" id="76" name="Picture"/>
                    <pic:cNvPicPr>
                      <a:picLocks noChangeArrowheads="1" noChangeAspect="1"/>
                    </pic:cNvPicPr>
                  </pic:nvPicPr>
                  <pic:blipFill>
                    <a:blip r:embed="rId7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检测结果案例 1</w:t>
      </w:r>
    </w:p>
    <w:p>
      <w:pPr>
        <w:pStyle w:val="CaptionedFigure"/>
      </w:pPr>
      <w:r>
        <w:drawing>
          <wp:inline>
            <wp:extent cx="5334000" cy="3750468"/>
            <wp:effectExtent b="0" l="0" r="0" t="0"/>
            <wp:docPr descr="分类结果案例 2" title="" id="78" name="Picture"/>
            <a:graphic>
              <a:graphicData uri="http://schemas.openxmlformats.org/drawingml/2006/picture">
                <pic:pic>
                  <pic:nvPicPr>
                    <pic:cNvPr descr="../results/screenshots/result-case2.png" id="79" name="Picture"/>
                    <pic:cNvPicPr>
                      <a:picLocks noChangeArrowheads="1" noChangeAspect="1"/>
                    </pic:cNvPicPr>
                  </pic:nvPicPr>
                  <pic:blipFill>
                    <a:blip r:embed="rId7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分类结果案例 2</w:t>
      </w:r>
    </w:p>
    <w:p>
      <w:pPr>
        <w:pStyle w:val="CaptionedFigure"/>
      </w:pPr>
      <w:r>
        <w:drawing>
          <wp:inline>
            <wp:extent cx="5334000" cy="2917031"/>
            <wp:effectExtent b="0" l="0" r="0" t="0"/>
            <wp:docPr descr="训练进度看板" title="" id="81" name="Picture"/>
            <a:graphic>
              <a:graphicData uri="http://schemas.openxmlformats.org/drawingml/2006/picture">
                <pic:pic>
                  <pic:nvPicPr>
                    <pic:cNvPr descr="../results/screenshots/progress-dashboard.png" id="82" name="Picture"/>
                    <pic:cNvPicPr>
                      <a:picLocks noChangeArrowheads="1" noChangeAspect="1"/>
                    </pic:cNvPicPr>
                  </pic:nvPicPr>
                  <pic:blipFill>
                    <a:blip r:embed="rId80"/>
                    <a:stretch>
                      <a:fillRect/>
                    </a:stretch>
                  </pic:blipFill>
                  <pic:spPr bwMode="auto">
                    <a:xfrm>
                      <a:off x="0" y="0"/>
                      <a:ext cx="5334000" cy="2917031"/>
                    </a:xfrm>
                    <a:prstGeom prst="rect">
                      <a:avLst/>
                    </a:prstGeom>
                    <a:noFill/>
                    <a:ln w="9525">
                      <a:noFill/>
                      <a:headEnd/>
                      <a:tailEnd/>
                    </a:ln>
                  </pic:spPr>
                </pic:pic>
              </a:graphicData>
            </a:graphic>
          </wp:inline>
        </w:drawing>
      </w:r>
    </w:p>
    <w:p>
      <w:pPr>
        <w:pStyle w:val="ImageCaption"/>
      </w:pPr>
      <w:r>
        <w:t xml:space="preserve">训练进度看板</w:t>
      </w:r>
    </w:p>
    <w:bookmarkEnd w:id="83"/>
    <w:bookmarkEnd w:id="84"/>
    <w:bookmarkStart w:id="85" w:name="总结与展望"/>
    <w:p>
      <w:pPr>
        <w:pStyle w:val="Heading1"/>
      </w:pPr>
      <w:r>
        <w:t xml:space="preserve">9 总结与展望</w:t>
      </w:r>
    </w:p>
    <w:p>
      <w:pPr>
        <w:pStyle w:val="FirstParagraph"/>
      </w:pPr>
      <w:r>
        <w:t xml:space="preserve">本课题完成了基于 DLCPD-25 数据集的农产品病虫害与缺陷分类目标检测系统，实现了数据工程、双专家模型训练、测试集隔离评估、训练进度看板和 Web 应用全流程。分类模型和检测模型均采用现代卷积架构，并针对长尾分布设计了专门的采样与损失策略。实验结果真实、可复现。</w:t>
      </w:r>
    </w:p>
    <w:p>
      <w:pPr>
        <w:pStyle w:val="BodyText"/>
      </w:pPr>
      <w:r>
        <w:t xml:space="preserve">后续工作可以从以下方向展开：</w:t>
      </w:r>
    </w:p>
    <w:p>
      <w:pPr>
        <w:numPr>
          <w:ilvl w:val="0"/>
          <w:numId w:val="1007"/>
        </w:numPr>
        <w:pStyle w:val="Compact"/>
      </w:pPr>
      <w:r>
        <w:t xml:space="preserve">引入更高分辨率输入和 P2 特征增强，改善小目标害虫检测；</w:t>
      </w:r>
    </w:p>
    <w:p>
      <w:pPr>
        <w:numPr>
          <w:ilvl w:val="0"/>
          <w:numId w:val="1007"/>
        </w:numPr>
        <w:pStyle w:val="Compact"/>
      </w:pPr>
      <w:r>
        <w:t xml:space="preserve">使用 IP102 原始分类图片进行弱监督或伪标签训练，补充稀有害虫样本；</w:t>
      </w:r>
    </w:p>
    <w:p>
      <w:pPr>
        <w:numPr>
          <w:ilvl w:val="0"/>
          <w:numId w:val="1007"/>
        </w:numPr>
        <w:pStyle w:val="Compact"/>
      </w:pPr>
      <w:r>
        <w:t xml:space="preserve">对 203 类分类任务引入层级 Softmax 或更大骨干，提高 Macro-F1；</w:t>
      </w:r>
    </w:p>
    <w:p>
      <w:pPr>
        <w:numPr>
          <w:ilvl w:val="0"/>
          <w:numId w:val="1007"/>
        </w:numPr>
        <w:pStyle w:val="Compact"/>
      </w:pPr>
      <w:r>
        <w:t xml:space="preserve">将模型导出为 ONNX/TensorRT，替换检测头为 YOLO/DETR 等部署友好架构。</w:t>
      </w:r>
    </w:p>
    <w:bookmarkEnd w:id="85"/>
    <w:bookmarkStart w:id="86" w:name="复现说明"/>
    <w:p>
      <w:pPr>
        <w:pStyle w:val="Heading1"/>
      </w:pPr>
      <w:r>
        <w:t xml:space="preserve">10 复现说明</w:t>
      </w:r>
    </w:p>
    <w:p>
      <w:pPr>
        <w:pStyle w:val="SourceCode"/>
      </w:pPr>
      <w:r>
        <w:rPr>
          <w:rStyle w:val="BuiltInTok"/>
        </w:rPr>
        <w:t xml:space="preserve">cd</w:t>
      </w:r>
      <w:r>
        <w:rPr>
          <w:rStyle w:val="NormalTok"/>
        </w:rPr>
        <w:t xml:space="preserve"> project</w:t>
      </w:r>
      <w:r>
        <w:br/>
      </w:r>
      <w:r>
        <w:rPr>
          <w:rStyle w:val="BuiltInTok"/>
        </w:rPr>
        <w:t xml:space="preserve">source</w:t>
      </w:r>
      <w:r>
        <w:rPr>
          <w:rStyle w:val="NormalTok"/>
        </w:rPr>
        <w:t xml:space="preserve"> /home/zkf/pytorch-env/bin/activate</w:t>
      </w:r>
      <w:r>
        <w:br/>
      </w:r>
      <w:r>
        <w:br/>
      </w:r>
      <w:r>
        <w:rPr>
          <w:rStyle w:val="CommentTok"/>
        </w:rPr>
        <w:t xml:space="preserve"># 分类训练</w:t>
      </w:r>
      <w:r>
        <w:br/>
      </w:r>
      <w:r>
        <w:rPr>
          <w:rStyle w:val="ExtensionTok"/>
        </w:rPr>
        <w:t xml:space="preserve">python</w:t>
      </w:r>
      <w:r>
        <w:rPr>
          <w:rStyle w:val="NormalTok"/>
        </w:rPr>
        <w:t xml:space="preserve"> </w:t>
      </w:r>
      <w:r>
        <w:rPr>
          <w:rStyle w:val="AttributeTok"/>
        </w:rPr>
        <w:t xml:space="preserve">-m</w:t>
      </w:r>
      <w:r>
        <w:rPr>
          <w:rStyle w:val="NormalTok"/>
        </w:rPr>
        <w:t xml:space="preserve"> dlcpd25_v2.classification.train </w:t>
      </w:r>
      <w:r>
        <w:rPr>
          <w:rStyle w:val="AttributeTok"/>
        </w:rPr>
        <w:t xml:space="preserve">--config</w:t>
      </w:r>
      <w:r>
        <w:rPr>
          <w:rStyle w:val="NormalTok"/>
        </w:rPr>
        <w:t xml:space="preserve"> configs/plan-a/classification.yaml</w:t>
      </w:r>
      <w:r>
        <w:br/>
      </w:r>
      <w:r>
        <w:br/>
      </w:r>
      <w:r>
        <w:rPr>
          <w:rStyle w:val="CommentTok"/>
        </w:rPr>
        <w:t xml:space="preserve"># 分类测试评估</w:t>
      </w:r>
      <w:r>
        <w:br/>
      </w:r>
      <w:r>
        <w:rPr>
          <w:rStyle w:val="ExtensionTok"/>
        </w:rPr>
        <w:t xml:space="preserve">python</w:t>
      </w:r>
      <w:r>
        <w:rPr>
          <w:rStyle w:val="NormalTok"/>
        </w:rPr>
        <w:t xml:space="preserve"> </w:t>
      </w:r>
      <w:r>
        <w:rPr>
          <w:rStyle w:val="AttributeTok"/>
        </w:rPr>
        <w:t xml:space="preserve">-m</w:t>
      </w:r>
      <w:r>
        <w:rPr>
          <w:rStyle w:val="NormalTok"/>
        </w:rPr>
        <w:t xml:space="preserve"> dlcpd25_v2.classification.evaluate </w:t>
      </w:r>
      <w:r>
        <w:rPr>
          <w:rStyle w:val="DataTypeTok"/>
        </w:rPr>
        <w:t xml:space="preserve">\</w:t>
      </w:r>
      <w:r>
        <w:br/>
      </w:r>
      <w:r>
        <w:rPr>
          <w:rStyle w:val="NormalTok"/>
        </w:rPr>
        <w:t xml:space="preserve">  </w:t>
      </w:r>
      <w:r>
        <w:rPr>
          <w:rStyle w:val="AttributeTok"/>
        </w:rPr>
        <w:t xml:space="preserve">--checkpoint</w:t>
      </w:r>
      <w:r>
        <w:rPr>
          <w:rStyle w:val="NormalTok"/>
        </w:rPr>
        <w:t xml:space="preserve"> models/classification_best.pt</w:t>
      </w:r>
      <w:r>
        <w:br/>
      </w:r>
      <w:r>
        <w:br/>
      </w:r>
      <w:r>
        <w:rPr>
          <w:rStyle w:val="CommentTok"/>
        </w:rPr>
        <w:t xml:space="preserve"># 检测训练</w:t>
      </w:r>
      <w:r>
        <w:br/>
      </w:r>
      <w:r>
        <w:rPr>
          <w:rStyle w:val="ExtensionTok"/>
        </w:rPr>
        <w:t xml:space="preserve">python</w:t>
      </w:r>
      <w:r>
        <w:rPr>
          <w:rStyle w:val="NormalTok"/>
        </w:rPr>
        <w:t xml:space="preserve"> </w:t>
      </w:r>
      <w:r>
        <w:rPr>
          <w:rStyle w:val="AttributeTok"/>
        </w:rPr>
        <w:t xml:space="preserve">-m</w:t>
      </w:r>
      <w:r>
        <w:rPr>
          <w:rStyle w:val="NormalTok"/>
        </w:rPr>
        <w:t xml:space="preserve"> dlcpd25_v2.detection.train </w:t>
      </w:r>
      <w:r>
        <w:rPr>
          <w:rStyle w:val="AttributeTok"/>
        </w:rPr>
        <w:t xml:space="preserve">--config</w:t>
      </w:r>
      <w:r>
        <w:rPr>
          <w:rStyle w:val="NormalTok"/>
        </w:rPr>
        <w:t xml:space="preserve"> configs/plan-a/detection.yaml</w:t>
      </w:r>
      <w:r>
        <w:br/>
      </w:r>
      <w:r>
        <w:br/>
      </w:r>
      <w:r>
        <w:rPr>
          <w:rStyle w:val="CommentTok"/>
        </w:rPr>
        <w:t xml:space="preserve"># 检测测试评估</w:t>
      </w:r>
      <w:r>
        <w:br/>
      </w:r>
      <w:r>
        <w:rPr>
          <w:rStyle w:val="ExtensionTok"/>
        </w:rPr>
        <w:t xml:space="preserve">python</w:t>
      </w:r>
      <w:r>
        <w:rPr>
          <w:rStyle w:val="NormalTok"/>
        </w:rPr>
        <w:t xml:space="preserve"> </w:t>
      </w:r>
      <w:r>
        <w:rPr>
          <w:rStyle w:val="AttributeTok"/>
        </w:rPr>
        <w:t xml:space="preserve">-m</w:t>
      </w:r>
      <w:r>
        <w:rPr>
          <w:rStyle w:val="NormalTok"/>
        </w:rPr>
        <w:t xml:space="preserve"> dlcpd25_v2.detection.evaluate </w:t>
      </w:r>
      <w:r>
        <w:rPr>
          <w:rStyle w:val="DataTypeTok"/>
        </w:rPr>
        <w:t xml:space="preserve">\</w:t>
      </w:r>
      <w:r>
        <w:br/>
      </w:r>
      <w:r>
        <w:rPr>
          <w:rStyle w:val="NormalTok"/>
        </w:rPr>
        <w:t xml:space="preserve">  </w:t>
      </w:r>
      <w:r>
        <w:rPr>
          <w:rStyle w:val="AttributeTok"/>
        </w:rPr>
        <w:t xml:space="preserve">--checkpoint</w:t>
      </w:r>
      <w:r>
        <w:rPr>
          <w:rStyle w:val="NormalTok"/>
        </w:rPr>
        <w:t xml:space="preserve"> models/detection_best.pt</w:t>
      </w:r>
      <w:r>
        <w:br/>
      </w:r>
      <w:r>
        <w:br/>
      </w:r>
      <w:r>
        <w:rPr>
          <w:rStyle w:val="CommentTok"/>
        </w:rPr>
        <w:t xml:space="preserve"># 启动 Web</w:t>
      </w:r>
      <w:r>
        <w:br/>
      </w:r>
      <w:r>
        <w:rPr>
          <w:rStyle w:val="ExtensionTok"/>
        </w:rPr>
        <w:t xml:space="preserve">python</w:t>
      </w:r>
      <w:r>
        <w:rPr>
          <w:rStyle w:val="NormalTok"/>
        </w:rPr>
        <w:t xml:space="preserve"> </w:t>
      </w:r>
      <w:r>
        <w:rPr>
          <w:rStyle w:val="AttributeTok"/>
        </w:rPr>
        <w:t xml:space="preserve">-m</w:t>
      </w:r>
      <w:r>
        <w:rPr>
          <w:rStyle w:val="NormalTok"/>
        </w:rPr>
        <w:t xml:space="preserve"> dlcpd25_v2.web </w:t>
      </w:r>
      <w:r>
        <w:rPr>
          <w:rStyle w:val="AttributeTok"/>
        </w:rPr>
        <w:t xml:space="preserve">--config</w:t>
      </w:r>
      <w:r>
        <w:rPr>
          <w:rStyle w:val="NormalTok"/>
        </w:rPr>
        <w:t xml:space="preserve"> configs/plan-a/app.yaml</w:t>
      </w:r>
    </w:p>
    <w:bookmarkEnd w:id="86"/>
    <w:bookmarkStart w:id="87" w:name="参考文献"/>
    <w:p>
      <w:pPr>
        <w:pStyle w:val="Heading1"/>
      </w:pPr>
      <w:r>
        <w:t xml:space="preserve">参考文献</w:t>
      </w:r>
    </w:p>
    <w:p>
      <w:pPr>
        <w:pStyle w:val="FirstParagraph"/>
      </w:pPr>
      <w:r>
        <w:t xml:space="preserve">[1] Zhang H.-W., Wang R.-F., Wang Z., Su W.-H. DLCPD-25: A Large-Scale and Diverse Dataset for Crop Disease and Pest Recognition.</w:t>
      </w:r>
      <w:r>
        <w:t xml:space="preserve"> </w:t>
      </w:r>
      <w:r>
        <w:rPr>
          <w:iCs/>
          <w:i/>
        </w:rPr>
        <w:t xml:space="preserve">Sensors</w:t>
      </w:r>
      <w:r>
        <w:t xml:space="preserve">, 2025, 25(22): 7098.</w:t>
      </w:r>
    </w:p>
    <w:p>
      <w:pPr>
        <w:pStyle w:val="BodyText"/>
      </w:pPr>
      <w:r>
        <w:t xml:space="preserve">[2] Liu Z., Mao H., Wu C.-Y., et al. A ConvNet for the 2020s. CVPR 2022.</w:t>
      </w:r>
    </w:p>
    <w:p>
      <w:pPr>
        <w:pStyle w:val="BodyText"/>
      </w:pPr>
      <w:r>
        <w:t xml:space="preserve">[3] Ren S., He K., Girshick R., Sun J. Faster R-CNN: Towards Real-Time Object Detection with Region Proposal Networks. NeurIPS 2015.</w:t>
      </w:r>
    </w:p>
    <w:p>
      <w:pPr>
        <w:pStyle w:val="BodyText"/>
      </w:pPr>
      <w:r>
        <w:t xml:space="preserve">[4] Lin T.-Y., Goyal P., Girshick R., He K., Dollár P. Focal Loss for Dense Object Detection. ICCV 2017.</w:t>
      </w:r>
    </w:p>
    <w:p>
      <w:pPr>
        <w:pStyle w:val="BodyText"/>
      </w:pPr>
      <w:r>
        <w:t xml:space="preserve">[5] Lin T.-Y., et al. Microsoft COCO: Common Objects in Context. ECCV 2014.</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DLCPD-25 数据集的农产品病虫害与缺陷分类目标检测系统</dc:title>
  <dc:creator>DLCPD-25 课程项目组</dc:creator>
  <dc:language>zh-CN</dc:language>
  <cp:keywords/>
  <dcterms:created xsi:type="dcterms:W3CDTF">2026-08-21T07:19:13Z</dcterms:created>
  <dcterms:modified xsi:type="dcterms:W3CDTF">2026-08-21T07:19:13Z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2026-08-21</vt:lpwstr>
  </property>
  <property fmtid="{D5CDD505-2E9C-101B-9397-08002B2CF9AE}" pid="3" name="subtitle">
    <vt:lpwstr>实验报告</vt:lpwstr>
  </property>
</Properties>
</file>