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8D0745">
      <w:pPr>
        <w:jc w:val="left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附件5：</w:t>
      </w:r>
    </w:p>
    <w:p w14:paraId="2E379E6E">
      <w:pPr>
        <w:jc w:val="center"/>
        <w:rPr>
          <w:rFonts w:eastAsia="黑体"/>
          <w:b/>
          <w:sz w:val="84"/>
        </w:rPr>
      </w:pPr>
      <w:r>
        <w:rPr>
          <w:sz w:val="84"/>
        </w:rPr>
        <w:drawing>
          <wp:inline distT="0" distB="0" distL="114300" distR="114300">
            <wp:extent cx="2143125" cy="647700"/>
            <wp:effectExtent l="0" t="0" r="9525" b="0"/>
            <wp:docPr id="1" name="图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og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351E4">
      <w:pPr>
        <w:tabs>
          <w:tab w:val="center" w:pos="4153"/>
        </w:tabs>
        <w:jc w:val="center"/>
        <w:rPr>
          <w:b/>
          <w:sz w:val="24"/>
        </w:rPr>
      </w:pPr>
    </w:p>
    <w:p w14:paraId="38540B15">
      <w:pPr>
        <w:tabs>
          <w:tab w:val="center" w:pos="4153"/>
        </w:tabs>
        <w:jc w:val="center"/>
        <w:rPr>
          <w:b/>
          <w:szCs w:val="21"/>
        </w:rPr>
      </w:pPr>
    </w:p>
    <w:p w14:paraId="2929BD55">
      <w:pPr>
        <w:tabs>
          <w:tab w:val="center" w:pos="4153"/>
        </w:tabs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 本科实</w:t>
      </w:r>
      <w:r>
        <w:rPr>
          <w:rFonts w:hint="eastAsia"/>
          <w:b/>
          <w:sz w:val="72"/>
          <w:szCs w:val="72"/>
        </w:rPr>
        <w:t>习</w:t>
      </w:r>
      <w:r>
        <w:rPr>
          <w:b/>
          <w:sz w:val="72"/>
          <w:szCs w:val="72"/>
        </w:rPr>
        <w:t>报告</w:t>
      </w:r>
    </w:p>
    <w:p w14:paraId="428C1D3F">
      <w:pPr>
        <w:tabs>
          <w:tab w:val="center" w:pos="4153"/>
        </w:tabs>
        <w:jc w:val="center"/>
        <w:rPr>
          <w:sz w:val="36"/>
          <w:szCs w:val="36"/>
          <w:u w:val="single"/>
        </w:rPr>
      </w:pPr>
    </w:p>
    <w:p w14:paraId="1573C6EB">
      <w:pPr>
        <w:tabs>
          <w:tab w:val="center" w:pos="4153"/>
        </w:tabs>
        <w:ind w:firstLine="1500" w:firstLineChars="500"/>
        <w:rPr>
          <w:rFonts w:hint="eastAsia" w:eastAsia="宋体"/>
          <w:sz w:val="30"/>
          <w:szCs w:val="30"/>
          <w:u w:val="single"/>
          <w:lang w:val="en-US" w:eastAsia="zh-CN"/>
        </w:rPr>
      </w:pPr>
      <w:r>
        <w:rPr>
          <w:rFonts w:hint="eastAsia"/>
          <w:sz w:val="30"/>
          <w:szCs w:val="30"/>
        </w:rPr>
        <w:t>实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习</w:t>
      </w:r>
      <w:r>
        <w:rPr>
          <w:sz w:val="30"/>
          <w:szCs w:val="30"/>
        </w:rPr>
        <w:t xml:space="preserve"> 名 称：</w:t>
      </w:r>
      <w:r>
        <w:rPr>
          <w:sz w:val="30"/>
          <w:szCs w:val="30"/>
          <w:u w:val="single"/>
        </w:rPr>
        <w:t xml:space="preserve">      </w:t>
      </w:r>
      <w:r>
        <w:rPr>
          <w:rFonts w:hint="eastAsia"/>
          <w:sz w:val="30"/>
          <w:szCs w:val="30"/>
          <w:u w:val="single"/>
        </w:rPr>
        <w:t>毕业实习</w:t>
      </w:r>
      <w:r>
        <w:rPr>
          <w:sz w:val="30"/>
          <w:szCs w:val="30"/>
          <w:u w:val="single"/>
        </w:rPr>
        <w:t xml:space="preserve">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</w:t>
      </w:r>
      <w:r>
        <w:rPr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</w:p>
    <w:p w14:paraId="71F90383">
      <w:pPr>
        <w:tabs>
          <w:tab w:val="center" w:pos="4153"/>
        </w:tabs>
        <w:ind w:firstLine="1500" w:firstLineChars="5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实 习 性 质：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szCs w:val="30"/>
          <w:u w:val="single"/>
        </w:rPr>
        <w:t>毕业（综合）实习</w:t>
      </w:r>
      <w:r>
        <w:rPr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 </w:t>
      </w:r>
      <w:r>
        <w:rPr>
          <w:rFonts w:hint="eastAsia"/>
          <w:sz w:val="30"/>
          <w:szCs w:val="30"/>
        </w:rPr>
        <w:t xml:space="preserve">                        </w:t>
      </w:r>
    </w:p>
    <w:p w14:paraId="5821D23F">
      <w:pPr>
        <w:tabs>
          <w:tab w:val="center" w:pos="4153"/>
        </w:tabs>
        <w:ind w:firstLine="1500" w:firstLineChars="500"/>
        <w:rPr>
          <w:rFonts w:hint="eastAsia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实 习 时 间：</w:t>
      </w:r>
      <w:r>
        <w:rPr>
          <w:rFonts w:hint="eastAsia"/>
          <w:sz w:val="30"/>
          <w:szCs w:val="30"/>
          <w:u w:val="single"/>
          <w:lang w:val="en-US" w:eastAsia="zh-CN"/>
        </w:rPr>
        <w:t>2026年7月18日-7月24日</w:t>
      </w:r>
    </w:p>
    <w:p w14:paraId="590FE768">
      <w:pPr>
        <w:tabs>
          <w:tab w:val="center" w:pos="4153"/>
        </w:tabs>
        <w:ind w:firstLine="1500" w:firstLineChars="5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实 习 地 点：</w:t>
      </w:r>
      <w:r>
        <w:rPr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  <w:lang w:val="en-US" w:eastAsia="zh-CN"/>
        </w:rPr>
        <w:t>暨南大学番禺校区</w:t>
      </w:r>
      <w:r>
        <w:rPr>
          <w:sz w:val="30"/>
          <w:szCs w:val="30"/>
          <w:u w:val="single"/>
        </w:rPr>
        <w:t xml:space="preserve">    </w:t>
      </w:r>
      <w:r>
        <w:rPr>
          <w:rFonts w:hint="eastAsia"/>
          <w:sz w:val="30"/>
          <w:szCs w:val="30"/>
        </w:rPr>
        <w:t xml:space="preserve">                        </w:t>
      </w:r>
    </w:p>
    <w:p w14:paraId="743716A7">
      <w:pPr>
        <w:tabs>
          <w:tab w:val="center" w:pos="4153"/>
        </w:tabs>
        <w:ind w:firstLine="1500" w:firstLineChars="500"/>
        <w:rPr>
          <w:rFonts w:hint="eastAsia" w:eastAsia="宋体"/>
          <w:sz w:val="30"/>
          <w:szCs w:val="30"/>
          <w:lang w:val="en-US" w:eastAsia="zh-CN"/>
        </w:rPr>
      </w:pPr>
      <w:r>
        <w:rPr>
          <w:sz w:val="30"/>
          <w:szCs w:val="30"/>
        </w:rPr>
        <w:t>学 生 姓 名：</w:t>
      </w:r>
      <w:r>
        <w:rPr>
          <w:sz w:val="30"/>
          <w:szCs w:val="30"/>
          <w:u w:val="single"/>
        </w:rPr>
        <w:t xml:space="preserve">                 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</w:p>
    <w:p w14:paraId="25D4996D">
      <w:pPr>
        <w:tabs>
          <w:tab w:val="center" w:pos="4153"/>
        </w:tabs>
        <w:ind w:firstLine="1500" w:firstLineChars="500"/>
        <w:rPr>
          <w:rFonts w:hint="eastAsia" w:eastAsia="宋体"/>
          <w:sz w:val="30"/>
          <w:szCs w:val="30"/>
          <w:lang w:val="en-US" w:eastAsia="zh-CN"/>
        </w:rPr>
      </w:pPr>
      <w:r>
        <w:rPr>
          <w:sz w:val="30"/>
          <w:szCs w:val="30"/>
        </w:rPr>
        <w:t>学       号：</w:t>
      </w:r>
      <w:r>
        <w:rPr>
          <w:sz w:val="30"/>
          <w:szCs w:val="30"/>
          <w:u w:val="single"/>
        </w:rPr>
        <w:t xml:space="preserve">                 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</w:p>
    <w:p w14:paraId="4C7923CC">
      <w:pPr>
        <w:tabs>
          <w:tab w:val="center" w:pos="4153"/>
        </w:tabs>
        <w:ind w:firstLine="1500" w:firstLineChars="500"/>
        <w:rPr>
          <w:rFonts w:hint="eastAsia" w:eastAsia="宋体"/>
          <w:sz w:val="30"/>
          <w:szCs w:val="30"/>
          <w:lang w:val="en-US" w:eastAsia="zh-CN"/>
        </w:rPr>
      </w:pPr>
      <w:r>
        <w:rPr>
          <w:sz w:val="30"/>
          <w:szCs w:val="30"/>
        </w:rPr>
        <w:t>学       院：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  <w:lang w:val="en-US" w:eastAsia="zh-CN"/>
        </w:rPr>
        <w:t>信息科学技术学院</w:t>
      </w:r>
      <w:r>
        <w:rPr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</w:p>
    <w:p w14:paraId="19755DD9">
      <w:pPr>
        <w:tabs>
          <w:tab w:val="center" w:pos="4153"/>
        </w:tabs>
        <w:ind w:firstLine="1500" w:firstLineChars="500"/>
        <w:rPr>
          <w:rFonts w:hint="eastAsia" w:eastAsia="宋体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t xml:space="preserve">学 </w:t>
      </w:r>
      <w:r>
        <w:rPr>
          <w:sz w:val="30"/>
          <w:szCs w:val="30"/>
        </w:rPr>
        <w:t xml:space="preserve">      系：</w:t>
      </w:r>
      <w:r>
        <w:rPr>
          <w:sz w:val="30"/>
          <w:szCs w:val="30"/>
          <w:u w:val="single"/>
        </w:rPr>
        <w:t xml:space="preserve">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  数学系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  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</w:p>
    <w:p w14:paraId="00DDEA9E">
      <w:pPr>
        <w:tabs>
          <w:tab w:val="center" w:pos="4153"/>
        </w:tabs>
        <w:ind w:firstLine="1500" w:firstLineChars="500"/>
        <w:rPr>
          <w:rFonts w:hint="eastAsia" w:eastAsia="宋体"/>
          <w:sz w:val="30"/>
          <w:szCs w:val="30"/>
          <w:lang w:val="en-US" w:eastAsia="zh-CN"/>
        </w:rPr>
      </w:pPr>
      <w:r>
        <w:rPr>
          <w:sz w:val="30"/>
          <w:szCs w:val="30"/>
        </w:rPr>
        <w:t>专       业：</w:t>
      </w:r>
      <w:r>
        <w:rPr>
          <w:sz w:val="30"/>
          <w:szCs w:val="30"/>
          <w:u w:val="single"/>
        </w:rPr>
        <w:t xml:space="preserve">                 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</w:p>
    <w:p w14:paraId="54310408">
      <w:pPr>
        <w:tabs>
          <w:tab w:val="center" w:pos="4153"/>
        </w:tabs>
        <w:ind w:firstLine="1500" w:firstLineChars="500"/>
        <w:rPr>
          <w:rFonts w:hint="eastAsia" w:eastAsia="宋体"/>
          <w:sz w:val="30"/>
          <w:szCs w:val="30"/>
          <w:lang w:val="en-US" w:eastAsia="zh-CN"/>
        </w:rPr>
      </w:pPr>
      <w:r>
        <w:rPr>
          <w:sz w:val="30"/>
          <w:szCs w:val="30"/>
        </w:rPr>
        <w:t>指 导 教 师：</w:t>
      </w:r>
      <w:r>
        <w:rPr>
          <w:sz w:val="30"/>
          <w:szCs w:val="30"/>
          <w:u w:val="single"/>
        </w:rPr>
        <w:t xml:space="preserve">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张未然</w:t>
      </w:r>
      <w:r>
        <w:rPr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</w:t>
      </w:r>
      <w:r>
        <w:rPr>
          <w:sz w:val="30"/>
          <w:szCs w:val="30"/>
          <w:u w:val="single"/>
        </w:rPr>
        <w:t xml:space="preserve">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</w:p>
    <w:p w14:paraId="04578A3A">
      <w:pPr>
        <w:tabs>
          <w:tab w:val="center" w:pos="4153"/>
        </w:tabs>
        <w:ind w:firstLine="1500" w:firstLineChars="500"/>
        <w:rPr>
          <w:rFonts w:hint="eastAsia" w:eastAsia="宋体"/>
          <w:sz w:val="30"/>
          <w:szCs w:val="30"/>
          <w:lang w:val="en-US" w:eastAsia="zh-CN"/>
        </w:rPr>
      </w:pPr>
      <w:r>
        <w:rPr>
          <w:sz w:val="30"/>
          <w:szCs w:val="30"/>
        </w:rPr>
        <w:t>教 师 单 位：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  <w:lang w:val="en-US" w:eastAsia="zh-CN"/>
        </w:rPr>
        <w:t>信息科学技术学院</w:t>
      </w:r>
      <w:r>
        <w:rPr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</w:p>
    <w:p w14:paraId="67A20862">
      <w:pPr>
        <w:tabs>
          <w:tab w:val="center" w:pos="4153"/>
        </w:tabs>
        <w:rPr>
          <w:rFonts w:hint="eastAsia"/>
          <w:b/>
          <w:sz w:val="32"/>
          <w:szCs w:val="32"/>
        </w:rPr>
      </w:pPr>
    </w:p>
    <w:p w14:paraId="63FCA704">
      <w:pPr>
        <w:tabs>
          <w:tab w:val="center" w:pos="4153"/>
        </w:tabs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lang w:val="en-US" w:eastAsia="zh-CN"/>
        </w:rPr>
        <w:t xml:space="preserve">  </w:t>
      </w:r>
      <w:r>
        <w:rPr>
          <w:b/>
          <w:sz w:val="32"/>
          <w:szCs w:val="32"/>
        </w:rPr>
        <w:t>暨南大学教务处</w:t>
      </w:r>
    </w:p>
    <w:p w14:paraId="580E8B42">
      <w:pPr>
        <w:numPr>
          <w:ilvl w:val="0"/>
          <w:numId w:val="0"/>
        </w:numPr>
        <w:tabs>
          <w:tab w:val="center" w:pos="4153"/>
        </w:tabs>
        <w:ind w:firstLine="3523" w:firstLineChars="1100"/>
        <w:jc w:val="both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  <w:lang w:val="en-US" w:eastAsia="zh-CN"/>
        </w:rPr>
        <w:t>2026</w:t>
      </w:r>
      <w:r>
        <w:rPr>
          <w:b/>
          <w:sz w:val="32"/>
          <w:szCs w:val="32"/>
        </w:rPr>
        <w:t>年</w:t>
      </w:r>
      <w:r>
        <w:rPr>
          <w:rFonts w:hint="eastAsia"/>
          <w:b/>
          <w:sz w:val="32"/>
          <w:szCs w:val="32"/>
          <w:lang w:val="en-US" w:eastAsia="zh-CN"/>
        </w:rPr>
        <w:t>7</w:t>
      </w:r>
      <w:r>
        <w:rPr>
          <w:b/>
          <w:sz w:val="32"/>
          <w:szCs w:val="32"/>
        </w:rPr>
        <w:t>月</w:t>
      </w:r>
      <w:r>
        <w:rPr>
          <w:rFonts w:hint="eastAsia"/>
          <w:b/>
          <w:sz w:val="32"/>
          <w:szCs w:val="32"/>
          <w:lang w:val="en-US" w:eastAsia="zh-CN"/>
        </w:rPr>
        <w:t>24</w:t>
      </w:r>
      <w:r>
        <w:rPr>
          <w:b/>
          <w:sz w:val="32"/>
          <w:szCs w:val="32"/>
        </w:rPr>
        <w:t>日</w:t>
      </w:r>
    </w:p>
    <w:p w14:paraId="5BEC3BC3">
      <w:pPr>
        <w:pStyle w:val="3"/>
        <w:ind w:firstLine="0" w:firstLineChars="0"/>
        <w:rPr>
          <w:rFonts w:hint="eastAsia" w:ascii="宋体" w:hAnsi="宋体"/>
          <w:bCs/>
          <w:sz w:val="32"/>
        </w:rPr>
      </w:pPr>
    </w:p>
    <w:p w14:paraId="28B08851">
      <w:pPr>
        <w:spacing w:before="120" w:line="22" w:lineRule="atLeast"/>
        <w:jc w:val="both"/>
        <w:rPr>
          <w:rFonts w:hint="eastAsia" w:eastAsia="黑体"/>
          <w:b/>
          <w:bCs/>
          <w:kern w:val="44"/>
          <w:sz w:val="44"/>
          <w:szCs w:val="44"/>
        </w:rPr>
      </w:pPr>
    </w:p>
    <w:p w14:paraId="120C1BCE">
      <w:pPr>
        <w:spacing w:after="80" w:line="283" w:lineRule="auto"/>
        <w:jc w:val="center"/>
        <w:rPr>
          <w:rFonts w:ascii="黑体" w:hAnsi="黑体" w:eastAsia="黑体"/>
          <w:b/>
          <w:sz w:val="32"/>
        </w:rPr>
      </w:pPr>
    </w:p>
    <w:p w14:paraId="6A8D18DD">
      <w:pPr>
        <w:spacing w:after="80" w:line="283" w:lineRule="auto"/>
        <w:jc w:val="center"/>
        <w:rPr>
          <w:rFonts w:ascii="黑体" w:hAnsi="黑体" w:eastAsia="黑体"/>
          <w:b/>
          <w:sz w:val="32"/>
        </w:rPr>
      </w:pPr>
    </w:p>
    <w:p w14:paraId="222C7E53">
      <w:pPr>
        <w:spacing w:after="80" w:line="283" w:lineRule="auto"/>
        <w:jc w:val="center"/>
        <w:rPr>
          <w:rFonts w:ascii="黑体" w:hAnsi="黑体" w:eastAsia="黑体"/>
          <w:b/>
          <w:sz w:val="32"/>
        </w:rPr>
      </w:pPr>
    </w:p>
    <w:p w14:paraId="7EBAA64F">
      <w:pPr>
        <w:spacing w:after="80" w:line="283" w:lineRule="auto"/>
        <w:jc w:val="center"/>
        <w:rPr>
          <w:rFonts w:ascii="黑体" w:hAnsi="黑体" w:eastAsia="黑体"/>
          <w:b/>
          <w:sz w:val="32"/>
        </w:rPr>
      </w:pPr>
    </w:p>
    <w:p w14:paraId="3B9D53D1">
      <w:pPr>
        <w:spacing w:after="80" w:line="283" w:lineRule="auto"/>
        <w:jc w:val="center"/>
        <w:rPr>
          <w:rFonts w:ascii="黑体" w:hAnsi="黑体" w:eastAsia="黑体"/>
          <w:b/>
          <w:sz w:val="32"/>
        </w:rPr>
      </w:pPr>
    </w:p>
    <w:p w14:paraId="249E39FC">
      <w:pPr>
        <w:spacing w:after="80" w:line="283" w:lineRule="auto"/>
        <w:jc w:val="center"/>
        <w:rPr>
          <w:rFonts w:ascii="黑体" w:hAnsi="黑体" w:eastAsia="黑体"/>
          <w:b/>
          <w:sz w:val="32"/>
        </w:rPr>
      </w:pPr>
    </w:p>
    <w:p w14:paraId="24F8F182">
      <w:pPr>
        <w:spacing w:after="80" w:line="283" w:lineRule="auto"/>
        <w:jc w:val="center"/>
        <w:rPr>
          <w:rFonts w:ascii="黑体" w:hAnsi="黑体" w:eastAsia="黑体"/>
          <w:b/>
          <w:sz w:val="32"/>
        </w:rPr>
      </w:pPr>
    </w:p>
    <w:p w14:paraId="6E2D6DED">
      <w:pPr>
        <w:spacing w:after="80" w:line="283" w:lineRule="auto"/>
        <w:jc w:val="center"/>
        <w:rPr>
          <w:rFonts w:ascii="黑体" w:hAnsi="黑体" w:eastAsia="黑体"/>
          <w:b/>
          <w:sz w:val="32"/>
        </w:rPr>
      </w:pPr>
    </w:p>
    <w:p w14:paraId="55D2F120">
      <w:pPr>
        <w:spacing w:after="80" w:line="283" w:lineRule="auto"/>
        <w:jc w:val="center"/>
        <w:rPr>
          <w:rFonts w:ascii="黑体" w:hAnsi="黑体" w:eastAsia="黑体"/>
          <w:b/>
          <w:sz w:val="32"/>
        </w:rPr>
      </w:pPr>
    </w:p>
    <w:p w14:paraId="56D066C0">
      <w:pPr>
        <w:spacing w:after="80" w:line="283" w:lineRule="auto"/>
        <w:jc w:val="center"/>
        <w:rPr>
          <w:rFonts w:ascii="黑体" w:hAnsi="黑体" w:eastAsia="黑体"/>
          <w:b/>
          <w:sz w:val="32"/>
        </w:rPr>
      </w:pPr>
    </w:p>
    <w:p w14:paraId="33C7C117">
      <w:pPr>
        <w:spacing w:after="80" w:line="283" w:lineRule="auto"/>
        <w:jc w:val="center"/>
        <w:rPr>
          <w:rFonts w:ascii="黑体" w:hAnsi="黑体" w:eastAsia="黑体"/>
          <w:b/>
          <w:sz w:val="32"/>
        </w:rPr>
      </w:pPr>
    </w:p>
    <w:p w14:paraId="79AC72A1">
      <w:pPr>
        <w:spacing w:after="80" w:line="283" w:lineRule="auto"/>
        <w:jc w:val="center"/>
        <w:rPr>
          <w:rFonts w:ascii="黑体" w:hAnsi="黑体" w:eastAsia="黑体"/>
          <w:b/>
          <w:sz w:val="32"/>
        </w:rPr>
      </w:pPr>
    </w:p>
    <w:p w14:paraId="0BAC8A1B">
      <w:pPr>
        <w:spacing w:after="80" w:line="283" w:lineRule="auto"/>
        <w:jc w:val="center"/>
        <w:rPr>
          <w:rFonts w:ascii="黑体" w:hAnsi="黑体" w:eastAsia="黑体"/>
          <w:b/>
          <w:sz w:val="32"/>
        </w:rPr>
      </w:pPr>
    </w:p>
    <w:p w14:paraId="6C153847">
      <w:pPr>
        <w:spacing w:after="80" w:line="283" w:lineRule="auto"/>
        <w:jc w:val="center"/>
        <w:rPr>
          <w:rFonts w:ascii="黑体" w:hAnsi="黑体" w:eastAsia="黑体"/>
          <w:b/>
          <w:sz w:val="32"/>
        </w:rPr>
      </w:pPr>
    </w:p>
    <w:p w14:paraId="046921E8">
      <w:pPr>
        <w:spacing w:after="80" w:line="283" w:lineRule="auto"/>
        <w:jc w:val="center"/>
        <w:rPr>
          <w:rFonts w:ascii="黑体" w:hAnsi="黑体" w:eastAsia="黑体"/>
          <w:b/>
          <w:sz w:val="32"/>
        </w:rPr>
      </w:pPr>
    </w:p>
    <w:p w14:paraId="1E85CA1D">
      <w:pPr>
        <w:spacing w:after="80" w:line="283" w:lineRule="auto"/>
        <w:jc w:val="center"/>
        <w:rPr>
          <w:rFonts w:ascii="黑体" w:hAnsi="黑体" w:eastAsia="黑体"/>
          <w:b/>
          <w:sz w:val="32"/>
        </w:rPr>
      </w:pPr>
    </w:p>
    <w:p w14:paraId="557FB120">
      <w:pPr>
        <w:spacing w:after="80" w:line="283" w:lineRule="auto"/>
        <w:jc w:val="center"/>
        <w:rPr>
          <w:rFonts w:ascii="黑体" w:hAnsi="黑体" w:eastAsia="黑体"/>
          <w:b/>
          <w:sz w:val="32"/>
        </w:rPr>
      </w:pPr>
    </w:p>
    <w:p w14:paraId="0571683F">
      <w:pPr>
        <w:spacing w:after="80" w:line="283" w:lineRule="auto"/>
        <w:jc w:val="center"/>
        <w:rPr>
          <w:rFonts w:ascii="黑体" w:hAnsi="黑体" w:eastAsia="黑体"/>
          <w:b/>
          <w:sz w:val="32"/>
        </w:rPr>
      </w:pPr>
    </w:p>
    <w:p w14:paraId="109A1047">
      <w:pPr>
        <w:spacing w:after="80" w:line="283" w:lineRule="auto"/>
        <w:jc w:val="center"/>
        <w:rPr>
          <w:rFonts w:ascii="黑体" w:hAnsi="黑体" w:eastAsia="黑体"/>
          <w:b/>
          <w:sz w:val="32"/>
        </w:rPr>
      </w:pPr>
    </w:p>
    <w:p w14:paraId="0D69660A">
      <w:pPr>
        <w:spacing w:after="80" w:line="283" w:lineRule="auto"/>
        <w:jc w:val="center"/>
      </w:pPr>
      <w:bookmarkStart w:id="0" w:name="_GoBack"/>
      <w:bookmarkEnd w:id="0"/>
      <w:r>
        <w:rPr>
          <w:rFonts w:ascii="黑体" w:hAnsi="黑体" w:eastAsia="黑体"/>
          <w:b/>
          <w:sz w:val="32"/>
        </w:rPr>
        <w:t>实习日志</w:t>
      </w:r>
    </w:p>
    <w:p w14:paraId="020E5EF7">
      <w:pPr>
        <w:spacing w:after="200" w:line="283" w:lineRule="auto"/>
        <w:jc w:val="center"/>
      </w:pPr>
      <w:r>
        <w:rPr>
          <w:rFonts w:ascii="宋体" w:hAnsi="宋体" w:eastAsia="宋体"/>
          <w:b w:val="0"/>
          <w:sz w:val="21"/>
        </w:rPr>
        <w:t>2026年7月18日 - 2026年7月24日（共6天）</w:t>
      </w:r>
    </w:p>
    <w:tbl>
      <w:tblPr>
        <w:tblStyle w:val="6"/>
        <w:tblW w:w="918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484"/>
      </w:tblGrid>
      <w:tr w14:paraId="1677BF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5" w:type="dxa"/>
            <w:gridSpan w:val="2"/>
            <w:tcBorders>
              <w:top w:val="single" w:color="555555" w:sz="8" w:space="0"/>
              <w:left w:val="single" w:color="555555" w:sz="8" w:space="0"/>
              <w:bottom w:val="single" w:color="555555" w:sz="8" w:space="0"/>
              <w:right w:val="single" w:color="555555" w:sz="8" w:space="0"/>
            </w:tcBorders>
            <w:shd w:val="clear" w:color="auto" w:fill="F2F2F2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6BC5D715">
            <w:pPr>
              <w:spacing w:after="0" w:line="283" w:lineRule="auto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第1天    2026年7月18日</w:t>
            </w:r>
          </w:p>
        </w:tc>
      </w:tr>
      <w:tr w14:paraId="4EA0D0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7F7F7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A475289">
            <w:pPr>
              <w:spacing w:after="0" w:line="283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上课内容记录</w:t>
            </w:r>
          </w:p>
        </w:tc>
        <w:tc>
          <w:tcPr>
            <w:tcW w:w="7484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0FDA48F">
            <w:pPr>
              <w:spacing w:after="60" w:line="283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第一天主要学习了机器学习的基础知识，重点了解监督学习的基本流程，以及线性回归、逻辑回归、KNN 和决策树等常见算法。课程先从机器学习的任务类型讲起，说明模型如何根据已有样本学习输入与输出之间的关系，再用训练好的模型对新样本进行预测。</w:t>
            </w:r>
          </w:p>
          <w:p w14:paraId="5500F25B">
            <w:pPr>
              <w:spacing w:after="60" w:line="283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在线性回归部分，学习了如何用线性函数拟合数据关系，并通过损失函数衡量预测值和真实值之间的误差。通过这部分内容，我对参数、损失函数和梯度下降之间的关系有了初步认识。逻辑回归部分主要用于分类问题，它通过 sigmoid 函数把线性输出转换为概率，再根据概率判断类别。</w:t>
            </w:r>
          </w:p>
          <w:p w14:paraId="494E720F">
            <w:pPr>
              <w:spacing w:after="60" w:line="283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KNN 算法的思想比较直观，它根据样本之间的距离寻找最近的若干个邻居，再由邻居类别决定预测结果。决策树则通过一系列条件判断对数据进行划分，形成类似流程图的树结构。通过这几种算法的对比，我初步理解了不同机器学习方法在建模思路上的差异。</w:t>
            </w:r>
          </w:p>
        </w:tc>
      </w:tr>
      <w:tr w14:paraId="06C296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7F7F7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8C350C4">
            <w:pPr>
              <w:spacing w:after="0" w:line="283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学习收获与反思</w:t>
            </w:r>
          </w:p>
        </w:tc>
        <w:tc>
          <w:tcPr>
            <w:tcW w:w="7484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326B7F4">
            <w:pPr>
              <w:spacing w:after="60" w:line="283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通过第一天的学习，我对机器学习的基本流程有了更清楚的认识。模型训练不是简单套公式，而是要先明确问题类型，再根据数据特点选择合适的方法。线性回归和逻辑回归让我区分了回归问题和分类问题，KNN 和决策树则更容易从直觉上理解分类过程。</w:t>
            </w:r>
          </w:p>
          <w:p w14:paraId="6FFA1563">
            <w:pPr>
              <w:spacing w:after="60" w:line="283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这一天的内容比较基础，但概念并不少，例如损失函数、分类边界、距离度量和树结构划分等。部分公式还需要课后再推一遍，尤其是梯度下降的计算过程和逻辑回归中概率输出的含义。</w:t>
            </w:r>
          </w:p>
        </w:tc>
      </w:tr>
      <w:tr w14:paraId="1461E8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7F7F7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B692628">
            <w:pPr>
              <w:spacing w:after="0" w:line="283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次日计划</w:t>
            </w:r>
          </w:p>
        </w:tc>
        <w:tc>
          <w:tcPr>
            <w:tcW w:w="7484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FDAAEEA">
            <w:pPr>
              <w:spacing w:after="60" w:line="283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第二天计划继续学习支持向量机、高斯判别分析、朴素贝叶斯、EM 算法和 K-means 聚类等内容，并结合课程作业完成牛顿下降法和多项式函数逼近的程序练习。</w:t>
            </w:r>
          </w:p>
        </w:tc>
      </w:tr>
    </w:tbl>
    <w:p w14:paraId="4D5CCD45">
      <w:pPr>
        <w:spacing w:after="120" w:line="283" w:lineRule="auto"/>
      </w:pPr>
    </w:p>
    <w:tbl>
      <w:tblPr>
        <w:tblStyle w:val="6"/>
        <w:tblW w:w="918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484"/>
      </w:tblGrid>
      <w:tr w14:paraId="615371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5" w:type="dxa"/>
            <w:gridSpan w:val="2"/>
            <w:tcBorders>
              <w:top w:val="single" w:color="555555" w:sz="8" w:space="0"/>
              <w:left w:val="single" w:color="555555" w:sz="8" w:space="0"/>
              <w:bottom w:val="single" w:color="555555" w:sz="8" w:space="0"/>
              <w:right w:val="single" w:color="555555" w:sz="8" w:space="0"/>
            </w:tcBorders>
            <w:shd w:val="clear" w:color="auto" w:fill="F2F2F2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3C73872A">
            <w:pPr>
              <w:spacing w:after="0" w:line="283" w:lineRule="auto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第2天    2026年7月19日</w:t>
            </w:r>
          </w:p>
        </w:tc>
      </w:tr>
      <w:tr w14:paraId="3CA71E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7F7F7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71CDDB2">
            <w:pPr>
              <w:spacing w:after="0" w:line="283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上课内容记录</w:t>
            </w:r>
          </w:p>
        </w:tc>
        <w:tc>
          <w:tcPr>
            <w:tcW w:w="7484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9CCE7A5">
            <w:pPr>
              <w:spacing w:after="60" w:line="283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第二天学习了支持向量机、高斯判别分析、朴素贝叶斯、EM 算法和 K-means 聚类。支持向量机主要从最大间隔的角度理解分类问题，重点在于找到能够把两类样本分开的超平面，并尽量让分类边界离样本更远。</w:t>
            </w:r>
          </w:p>
          <w:p w14:paraId="57D83D4F">
            <w:pPr>
              <w:spacing w:after="60" w:line="283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高斯判别分析和朴素贝叶斯都和概率建模有关。高斯判别分析需要对样本分布做假设，再用类别条件概率进行判断；朴素贝叶斯则假设特征之间近似独立，计算过程比较简洁。EM 算法主要用于存在隐变量或参数难以直接求解的场景，通过 E 步和 M 步交替更新。K-means 是无监督聚类方法，根据样本到聚类中心的距离不断调整类别划分。</w:t>
            </w:r>
          </w:p>
          <w:p w14:paraId="38D55914">
            <w:pPr>
              <w:spacing w:after="60" w:line="283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一、二天的作业是两个基础算法练习。第一个程序使用线性回归和多项式特征逼近 sin(x)，分别观察 3、4、5 次多项式的拟合效果；第二个程序使用牛顿法求解 f(x,y)=x^2+y^2 的最小值，并画出迭代轨迹。相关代码和结果图保存在 hw_poly_sin 和 hw_newton_min 文件夹中。</w:t>
            </w:r>
          </w:p>
        </w:tc>
      </w:tr>
      <w:tr w14:paraId="09D111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7F7F7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55717FE">
            <w:pPr>
              <w:spacing w:after="0" w:line="283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学习收获与反思</w:t>
            </w:r>
          </w:p>
        </w:tc>
        <w:tc>
          <w:tcPr>
            <w:tcW w:w="7484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F7D10BC">
            <w:pPr>
              <w:spacing w:after="60" w:line="283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这一天的算法比第一天更抽象一些，尤其是 SVM 的间隔思想和 EM 算法的迭代过程，刚开始理解起来不太直接。通过作业写代码后，我对“算法思想”和“实际迭代过程”的关系理解得更清楚了。</w:t>
            </w:r>
          </w:p>
          <w:p w14:paraId="2ECB2795">
            <w:pPr>
              <w:spacing w:after="60" w:line="283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多项式逼近 sin(x) 的实验能直观看到模型复杂度变化后的拟合差异。牛顿法的作业也让我意识到，优化算法不是只看公式，初始点、梯度、Hessian 矩阵和停止条件都会影响程序实现。</w:t>
            </w:r>
          </w:p>
        </w:tc>
      </w:tr>
      <w:tr w14:paraId="4F1F2B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7F7F7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8FDFB79">
            <w:pPr>
              <w:spacing w:after="0" w:line="283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次日计划</w:t>
            </w:r>
          </w:p>
        </w:tc>
        <w:tc>
          <w:tcPr>
            <w:tcW w:w="7484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F51C963">
            <w:pPr>
              <w:spacing w:after="60" w:line="283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第三天计划开始学习卷积神经网络，重点理解卷积、池化和特征提取的作用，并了解 CNN 在图像分类、目标检测和图像分割中的应用。</w:t>
            </w:r>
          </w:p>
        </w:tc>
      </w:tr>
    </w:tbl>
    <w:p w14:paraId="4E23F9FF">
      <w:pPr>
        <w:spacing w:after="120" w:line="283" w:lineRule="auto"/>
      </w:pPr>
    </w:p>
    <w:tbl>
      <w:tblPr>
        <w:tblStyle w:val="6"/>
        <w:tblW w:w="918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484"/>
      </w:tblGrid>
      <w:tr w14:paraId="02206B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5" w:type="dxa"/>
            <w:gridSpan w:val="2"/>
            <w:tcBorders>
              <w:top w:val="single" w:color="555555" w:sz="8" w:space="0"/>
              <w:left w:val="single" w:color="555555" w:sz="8" w:space="0"/>
              <w:bottom w:val="single" w:color="555555" w:sz="8" w:space="0"/>
              <w:right w:val="single" w:color="555555" w:sz="8" w:space="0"/>
            </w:tcBorders>
            <w:shd w:val="clear" w:color="auto" w:fill="F2F2F2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024AD026">
            <w:pPr>
              <w:spacing w:after="0" w:line="283" w:lineRule="auto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第3天    2026年7月20日</w:t>
            </w:r>
          </w:p>
        </w:tc>
      </w:tr>
      <w:tr w14:paraId="7EC2CA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7F7F7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6B27F85">
            <w:pPr>
              <w:spacing w:after="0" w:line="283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上课内容记录</w:t>
            </w:r>
          </w:p>
        </w:tc>
        <w:tc>
          <w:tcPr>
            <w:tcW w:w="7484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AE621F6">
            <w:pPr>
              <w:spacing w:after="60" w:line="283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第三天主要学习了 CNN 卷积神经网络。课程讲解了卷积层、激活函数、池化层和全连接层的基本作用，也说明了为什么 CNN 适合处理图像数据。图像中相邻像素通常有局部关系，卷积核可以提取边缘、纹理和更高层的语义特征。</w:t>
            </w:r>
          </w:p>
          <w:p w14:paraId="12C4ED8D">
            <w:pPr>
              <w:spacing w:after="60" w:line="283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除了图像分类，课程还介绍了 CNN 在不同视觉任务中的应用。目标检测不仅要判断图中有什么，还要给出目标所在位置；图像分割则需要对像素或区域进行分类，比普通分类任务更细。通过这些例子，我对图像分类、检测和分割之间的区别有了直观认识。</w:t>
            </w:r>
          </w:p>
          <w:p w14:paraId="0EC94939">
            <w:pPr>
              <w:spacing w:after="60" w:line="283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当天开始接触 CIFAR-10 图像分类作业。作业要求完成数据下载、数据处理、模型搭建、训练、测试和预测流程，并尽量把准确率训练到较高水平。项目代码放在 cifar10_project 文件夹中，里面包含数据加载、模型定义、训练入口、测试脚本、预测脚本和网页演示。</w:t>
            </w:r>
          </w:p>
        </w:tc>
      </w:tr>
      <w:tr w14:paraId="1FE676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7F7F7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E07F91E">
            <w:pPr>
              <w:spacing w:after="0" w:line="283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学习收获与反思</w:t>
            </w:r>
          </w:p>
        </w:tc>
        <w:tc>
          <w:tcPr>
            <w:tcW w:w="7484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0FCF1D4">
            <w:pPr>
              <w:spacing w:after="60" w:line="283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学习 CNN 后，我对图像模型的理解从“把图片当成一串数字”变成了“逐层提取特征”。卷积层关注局部区域，池化层降低特征图尺寸，后面的分类层再根据提取到的特征做判断，这个过程比传统机器学习更适合图像任务。</w:t>
            </w:r>
          </w:p>
          <w:p w14:paraId="28333193">
            <w:pPr>
              <w:spacing w:after="60" w:line="283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CIFAR-10 作业也暴露出训练深度模型的复杂性。单独写出模型结构并不够，还要处理数据增强、学习率、batch size、checkpoint、测试集评估等问题。训练时间也比较长，需要边看日志边判断模型是否正常收敛。</w:t>
            </w:r>
          </w:p>
        </w:tc>
      </w:tr>
      <w:tr w14:paraId="19636D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7F7F7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9A90757">
            <w:pPr>
              <w:spacing w:after="0" w:line="283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次日计划</w:t>
            </w:r>
          </w:p>
        </w:tc>
        <w:tc>
          <w:tcPr>
            <w:tcW w:w="7484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9F0548B">
            <w:pPr>
              <w:spacing w:after="60" w:line="283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第四天计划继续学习深度学习训练中的关键概念，例如学习率、损失函数、优化器和数据增强，并继续推进 CIFAR-10 模型训练与调参。</w:t>
            </w:r>
          </w:p>
        </w:tc>
      </w:tr>
    </w:tbl>
    <w:p w14:paraId="114CCDED">
      <w:pPr>
        <w:spacing w:after="120" w:line="283" w:lineRule="auto"/>
      </w:pPr>
    </w:p>
    <w:tbl>
      <w:tblPr>
        <w:tblStyle w:val="6"/>
        <w:tblW w:w="918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484"/>
      </w:tblGrid>
      <w:tr w14:paraId="175AE4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5" w:type="dxa"/>
            <w:gridSpan w:val="2"/>
            <w:tcBorders>
              <w:top w:val="single" w:color="555555" w:sz="8" w:space="0"/>
              <w:left w:val="single" w:color="555555" w:sz="8" w:space="0"/>
              <w:bottom w:val="single" w:color="555555" w:sz="8" w:space="0"/>
              <w:right w:val="single" w:color="555555" w:sz="8" w:space="0"/>
            </w:tcBorders>
            <w:shd w:val="clear" w:color="auto" w:fill="F2F2F2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16B54F57">
            <w:pPr>
              <w:spacing w:after="0" w:line="283" w:lineRule="auto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第4天    2026年7月22日</w:t>
            </w:r>
          </w:p>
        </w:tc>
      </w:tr>
      <w:tr w14:paraId="1751BA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7F7F7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F9B36EE">
            <w:pPr>
              <w:spacing w:after="0" w:line="283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上课内容记录</w:t>
            </w:r>
          </w:p>
        </w:tc>
        <w:tc>
          <w:tcPr>
            <w:tcW w:w="7484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54D0C0C">
            <w:pPr>
              <w:spacing w:after="60" w:line="283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第四天学习了深度学习训练中的一些核心知识，包括学习率、损失函数、优化器、训练集与测试集划分等内容。学习率会直接影响参数更新幅度，过大容易震荡，过小又会导致训练变慢。损失函数用于衡量模型预测和真实标签之间的差距，是反向传播计算梯度的基础。</w:t>
            </w:r>
          </w:p>
          <w:p w14:paraId="1416FD34">
            <w:pPr>
              <w:spacing w:after="60" w:line="283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课程还讲了如何调用豆包 API 生成回答、图片和视频。通过接口调用，可以把提示词、图片等输入发送给模型，再根据返回结果保存文本、图片或视频文件。这部分内容让我第一次比较完整地接触了 API key、环境变量、请求参数和任务轮询等实际开发步骤。</w:t>
            </w:r>
          </w:p>
          <w:p w14:paraId="75C0A26F">
            <w:pPr>
              <w:spacing w:after="60" w:line="283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三、四天的作业重点是 CIFAR-10 图像分类训练。项目中使用 WideResNet-28-10 作为主模型，配合 RandAugment、RandomErasing、MixUp、CutMix、label smoothing、SGD Nesterov 和 warmup + cosine 学习率策略。训练脚本会保存 best 和 last 两个 checkpoint，也会记录 history.csv 和训练曲线，方便断点续训和后续测试。</w:t>
            </w:r>
          </w:p>
        </w:tc>
      </w:tr>
      <w:tr w14:paraId="0676AE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7F7F7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F9D59D7">
            <w:pPr>
              <w:spacing w:after="0" w:line="283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学习收获与反思</w:t>
            </w:r>
          </w:p>
        </w:tc>
        <w:tc>
          <w:tcPr>
            <w:tcW w:w="7484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91E2304">
            <w:pPr>
              <w:spacing w:after="60" w:line="283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这一天我感觉最重要的是理解训练过程的几个“开关”。同一个模型，如果学习率、增强方式或训练轮数不同，结果会差很多。以前只关注准确率，现在会顺着日志看 train_loss、test_loss、train_acc 和 test_acc 的变化。</w:t>
            </w:r>
          </w:p>
          <w:p w14:paraId="4B6C98D7">
            <w:pPr>
              <w:spacing w:after="60" w:line="283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CIFAR-10 作业中也学习了项目化组织代码的方法。数据处理、模型、训练、测试、预测和网页演示被拆成不同模块，比单文件脚本更清楚。虽然训练时间比较长，但 checkpoint 能保存进度，出错或中断后可以继续训练。</w:t>
            </w:r>
          </w:p>
        </w:tc>
      </w:tr>
      <w:tr w14:paraId="1BAB3E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7F7F7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D978850">
            <w:pPr>
              <w:spacing w:after="0" w:line="283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次日计划</w:t>
            </w:r>
          </w:p>
        </w:tc>
        <w:tc>
          <w:tcPr>
            <w:tcW w:w="7484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44D6BBF">
            <w:pPr>
              <w:spacing w:after="60" w:line="283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第五天计划学习大模型相关知识，包括 Transformer、RNN 和大模型微调的基础内容，同时开始准备调用豆包 API 生成 3D 内容和视频的作业。</w:t>
            </w:r>
          </w:p>
        </w:tc>
      </w:tr>
    </w:tbl>
    <w:p w14:paraId="1DE32A8F">
      <w:pPr>
        <w:spacing w:after="120" w:line="283" w:lineRule="auto"/>
      </w:pPr>
    </w:p>
    <w:tbl>
      <w:tblPr>
        <w:tblStyle w:val="6"/>
        <w:tblW w:w="918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484"/>
      </w:tblGrid>
      <w:tr w14:paraId="308F0F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5" w:type="dxa"/>
            <w:gridSpan w:val="2"/>
            <w:tcBorders>
              <w:top w:val="single" w:color="555555" w:sz="8" w:space="0"/>
              <w:left w:val="single" w:color="555555" w:sz="8" w:space="0"/>
              <w:bottom w:val="single" w:color="555555" w:sz="8" w:space="0"/>
              <w:right w:val="single" w:color="555555" w:sz="8" w:space="0"/>
            </w:tcBorders>
            <w:shd w:val="clear" w:color="auto" w:fill="F2F2F2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12E8E48C">
            <w:pPr>
              <w:spacing w:after="0" w:line="283" w:lineRule="auto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第5天    2026年7月23日</w:t>
            </w:r>
          </w:p>
        </w:tc>
      </w:tr>
      <w:tr w14:paraId="64EA3C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7F7F7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5BE9D0C">
            <w:pPr>
              <w:spacing w:after="0" w:line="283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上课内容记录</w:t>
            </w:r>
          </w:p>
        </w:tc>
        <w:tc>
          <w:tcPr>
            <w:tcW w:w="7484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72ED099">
            <w:pPr>
              <w:spacing w:after="60" w:line="283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第五天学习了大模型相关知识。课程从序列建模讲起，回顾了 RNN 的基本结构和它处理序列数据的方式，也说明了 RNN 在长距离依赖问题上的局限。随后重点学习 Transformer，了解 self-attention 如何根据不同 token 之间的关系计算表示。</w:t>
            </w:r>
          </w:p>
          <w:p w14:paraId="282FE453">
            <w:pPr>
              <w:spacing w:after="60" w:line="283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课程还讲解了大模型微调的基础知识，重点提到了 LoRA。LoRA 的思路是在不大规模更新原模型参数的情况下，引入少量可训练参数进行适配，这样可以降低微调成本，也方便针对具体任务进行调整。</w:t>
            </w:r>
          </w:p>
          <w:p w14:paraId="6AD58C6F">
            <w:pPr>
              <w:spacing w:after="60" w:line="283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五、六天的作业是调用豆包 API 生成 3D 视频。本文件夹中的 api 目录保存了相关代码，包括 3d.py、vedio.py、render_turntable.py、view_model.html、参考图片 met_bulul_DP320246.jpg 以及生成结果 turntable.mp4。作业流程包括读取图片、构造提示词、创建生成任务、轮询任务状态、下载生成文件，并把 3D 模型渲染成旋转视频。</w:t>
            </w:r>
          </w:p>
        </w:tc>
      </w:tr>
      <w:tr w14:paraId="20312F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7F7F7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255BCA6">
            <w:pPr>
              <w:spacing w:after="0" w:line="283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学习收获与反思</w:t>
            </w:r>
          </w:p>
        </w:tc>
        <w:tc>
          <w:tcPr>
            <w:tcW w:w="7484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CAC1C24">
            <w:pPr>
              <w:spacing w:after="60" w:line="283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学习 Transformer 后，我对大模型为什么能处理长文本有了初步认识。RNN 是按顺序处理信息，Transformer 则可以通过注意力机制直接建模不同位置之间的关系。这个差异很关键，也解释了为什么现在很多大模型都基于 Transformer。</w:t>
            </w:r>
          </w:p>
          <w:p w14:paraId="463D4536">
            <w:pPr>
              <w:spacing w:after="60" w:line="283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LoRA 的内容让我意识到，大模型应用并不一定要从头训练。很多场景更现实的做法是调用已有模型，或者用较低成本的方法进行适配。API 作业也让我看到，实际应用中除了模型原理，还要会处理接口、文件、返回结果和异常情况。</w:t>
            </w:r>
          </w:p>
        </w:tc>
      </w:tr>
      <w:tr w14:paraId="23D28A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7F7F7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9A950AD">
            <w:pPr>
              <w:spacing w:after="0" w:line="283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次日计划</w:t>
            </w:r>
          </w:p>
        </w:tc>
        <w:tc>
          <w:tcPr>
            <w:tcW w:w="7484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505287E">
            <w:pPr>
              <w:spacing w:after="60" w:line="283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第六天计划学习 LangChain、Dify 和知识蒸馏等内容，并完成豆包 API 生成 3D 视频作业的整理与测试。</w:t>
            </w:r>
          </w:p>
        </w:tc>
      </w:tr>
    </w:tbl>
    <w:p w14:paraId="2F1E37C8">
      <w:pPr>
        <w:spacing w:after="120" w:line="283" w:lineRule="auto"/>
      </w:pPr>
    </w:p>
    <w:tbl>
      <w:tblPr>
        <w:tblStyle w:val="6"/>
        <w:tblW w:w="918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484"/>
      </w:tblGrid>
      <w:tr w14:paraId="2E15C2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5" w:type="dxa"/>
            <w:gridSpan w:val="2"/>
            <w:tcBorders>
              <w:top w:val="single" w:color="555555" w:sz="8" w:space="0"/>
              <w:left w:val="single" w:color="555555" w:sz="8" w:space="0"/>
              <w:bottom w:val="single" w:color="555555" w:sz="8" w:space="0"/>
              <w:right w:val="single" w:color="555555" w:sz="8" w:space="0"/>
            </w:tcBorders>
            <w:shd w:val="clear" w:color="auto" w:fill="F2F2F2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5BD5C1B0">
            <w:pPr>
              <w:spacing w:after="0" w:line="283" w:lineRule="auto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第6天    2026年7月24日</w:t>
            </w:r>
          </w:p>
        </w:tc>
      </w:tr>
      <w:tr w14:paraId="5F6307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7F7F7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52FA8F7">
            <w:pPr>
              <w:spacing w:after="0" w:line="283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上课内容记录</w:t>
            </w:r>
          </w:p>
        </w:tc>
        <w:tc>
          <w:tcPr>
            <w:tcW w:w="7484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B98F990">
            <w:pPr>
              <w:spacing w:after="60" w:line="283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第六天学习了 LangChain、Dify 和知识蒸馏等内容。LangChain 主要用于把大模型和外部工具、知识库、检索流程连接起来，适合搭建更完整的智能应用。Dify 则更偏向可视化应用搭建，可以通过配置工作流、模型和知识库快速完成一个大模型应用原型。</w:t>
            </w:r>
          </w:p>
          <w:p w14:paraId="225FB68B">
            <w:pPr>
              <w:spacing w:after="60" w:line="283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知识蒸馏部分主要学习了教师模型和学生模型的基本思想。较大的教师模型通常效果更好，但部署成本高；学生模型通过学习教师模型的输出，可以在较小规模下尽量保留效果。这部分内容和实际部署关系比较大。</w:t>
            </w:r>
          </w:p>
          <w:p w14:paraId="06F8CF31">
            <w:pPr>
              <w:spacing w:after="60" w:line="283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最后一天继续整理五、六天作业。api 文件夹中的程序使用豆包相关接口，根据参考图片生成 3D 模型或视频，并通过渲染脚本输出旋转展示视频。到这里，本次实习涉及的几个作业基本完成：一、二天完成牛顿法和多项式逼近，三、四天完成 CIFAR-10 图像分类训练，五、六天完成豆包 API 生成 3D 视频相关程序。</w:t>
            </w:r>
          </w:p>
        </w:tc>
      </w:tr>
      <w:tr w14:paraId="486AA2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7F7F7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3044ECD">
            <w:pPr>
              <w:spacing w:after="0" w:line="283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学习收获与反思</w:t>
            </w:r>
          </w:p>
        </w:tc>
        <w:tc>
          <w:tcPr>
            <w:tcW w:w="7484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7260ED6">
            <w:pPr>
              <w:spacing w:after="60" w:line="283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六天课程把传统机器学习、深度学习和大模型应用串在了一起。前两天偏算法基础，中间两天偏图像模型训练，最后两天偏大模型工具和接口调用。内容跨度比较大，但通过几个作业能把知识落到代码上。</w:t>
            </w:r>
          </w:p>
          <w:p w14:paraId="4D241653">
            <w:pPr>
              <w:spacing w:after="60" w:line="283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我最大的收获是对“模型从训练到应用”的流程有了更完整的认识。传统算法需要理解公式和迭代过程，深度学习需要关注训练策略和评估指标，大模型应用还要处理 API、提示词和工程流程。后续如果继续完善这些作业，可以重点补充实验记录、错误分析和代码注释。</w:t>
            </w:r>
          </w:p>
        </w:tc>
      </w:tr>
      <w:tr w14:paraId="3F7CA0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7F7F7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6DCBF10">
            <w:pPr>
              <w:spacing w:after="0" w:line="283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次日计划</w:t>
            </w:r>
          </w:p>
        </w:tc>
        <w:tc>
          <w:tcPr>
            <w:tcW w:w="7484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E37F7D6">
            <w:pPr>
              <w:spacing w:after="60" w:line="283" w:lineRule="auto"/>
              <w:ind w:firstLine="42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后续计划整理本次实习报告和各个作业文件，检查代码运行命令、输出图片、训练曲线和视频结果，确保提交材料完整。</w:t>
            </w:r>
          </w:p>
        </w:tc>
      </w:tr>
    </w:tbl>
    <w:p w14:paraId="236D3080">
      <w:pPr>
        <w:spacing w:after="120" w:line="283" w:lineRule="auto"/>
      </w:pPr>
    </w:p>
    <w:p w14:paraId="23B6769D">
      <w:r>
        <w:br w:type="page"/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"/>
        <w:gridCol w:w="8748"/>
      </w:tblGrid>
      <w:tr w14:paraId="7FE0B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3" w:hRule="atLeast"/>
        </w:trPr>
        <w:tc>
          <w:tcPr>
            <w:tcW w:w="538" w:type="dxa"/>
            <w:tcBorders>
              <w:top w:val="single" w:color="auto" w:sz="4" w:space="0"/>
            </w:tcBorders>
            <w:noWrap w:val="0"/>
            <w:vAlign w:val="top"/>
          </w:tcPr>
          <w:p w14:paraId="65157197">
            <w:pPr>
              <w:pStyle w:val="3"/>
              <w:spacing w:line="440" w:lineRule="exact"/>
              <w:ind w:firstLine="0" w:firstLineChars="0"/>
              <w:jc w:val="center"/>
              <w:rPr>
                <w:rFonts w:hint="eastAsia" w:ascii="仿宋_GB2312" w:hAnsi="宋体" w:eastAsia="仿宋_GB2312"/>
                <w:bCs/>
                <w:sz w:val="30"/>
              </w:rPr>
            </w:pPr>
            <w:r>
              <w:rPr>
                <w:rFonts w:hint="eastAsia" w:ascii="仿宋_GB2312" w:hAnsi="宋体" w:eastAsia="仿宋_GB2312"/>
                <w:bCs/>
                <w:sz w:val="30"/>
              </w:rPr>
              <w:t xml:space="preserve"> 指导教师考核意见</w:t>
            </w:r>
          </w:p>
          <w:p w14:paraId="354957C9">
            <w:pPr>
              <w:pStyle w:val="3"/>
              <w:spacing w:line="440" w:lineRule="exact"/>
              <w:ind w:firstLine="0" w:firstLineChars="0"/>
              <w:rPr>
                <w:rFonts w:hint="eastAsia" w:ascii="仿宋_GB2312" w:hAnsi="宋体" w:eastAsia="仿宋_GB2312"/>
                <w:bCs/>
                <w:sz w:val="30"/>
              </w:rPr>
            </w:pPr>
          </w:p>
        </w:tc>
        <w:tc>
          <w:tcPr>
            <w:tcW w:w="8748" w:type="dxa"/>
            <w:tcBorders>
              <w:top w:val="single" w:color="auto" w:sz="4" w:space="0"/>
            </w:tcBorders>
            <w:noWrap w:val="0"/>
            <w:vAlign w:val="top"/>
          </w:tcPr>
          <w:p w14:paraId="4827C6D2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75221E5A">
            <w:pPr>
              <w:rPr>
                <w:rFonts w:hint="eastAsia"/>
                <w:b/>
                <w:color w:val="FF0000"/>
                <w:sz w:val="44"/>
                <w:szCs w:val="44"/>
                <w:highlight w:val="yellow"/>
              </w:rPr>
            </w:pPr>
          </w:p>
          <w:p w14:paraId="3130AF27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32DA0D67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68D91F24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789D40B1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6A7ADD30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  <w:r>
              <w:rPr>
                <w:rFonts w:hint="eastAsia" w:ascii="仿宋_GB2312" w:hAnsi="宋体" w:eastAsia="仿宋_GB2312"/>
                <w:bCs/>
                <w:sz w:val="24"/>
              </w:rPr>
              <w:t xml:space="preserve">   </w:t>
            </w:r>
          </w:p>
          <w:p w14:paraId="092F3399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1746ADFB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  <w:r>
              <w:rPr>
                <w:rFonts w:hint="eastAsia" w:ascii="仿宋_GB2312" w:hAnsi="宋体" w:eastAsia="仿宋_GB2312"/>
                <w:bCs/>
                <w:sz w:val="24"/>
              </w:rPr>
              <w:t xml:space="preserve">                     </w:t>
            </w:r>
          </w:p>
          <w:p w14:paraId="733C6702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  <w:r>
              <w:rPr>
                <w:rFonts w:hint="eastAsia" w:ascii="仿宋_GB2312" w:hAnsi="宋体" w:eastAsia="仿宋_GB2312"/>
                <w:bCs/>
                <w:sz w:val="24"/>
              </w:rPr>
              <w:t xml:space="preserve"> 成绩评定：                     指导教师签字：              </w:t>
            </w:r>
          </w:p>
          <w:p w14:paraId="7DE8E243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  <w:r>
              <w:rPr>
                <w:rFonts w:hint="eastAsia" w:ascii="仿宋_GB2312" w:hAnsi="宋体" w:eastAsia="仿宋_GB2312"/>
                <w:bCs/>
                <w:sz w:val="24"/>
              </w:rPr>
              <w:t xml:space="preserve">                                        年    月    日</w:t>
            </w:r>
          </w:p>
        </w:tc>
      </w:tr>
      <w:tr w14:paraId="219E8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1" w:hRule="atLeast"/>
        </w:trPr>
        <w:tc>
          <w:tcPr>
            <w:tcW w:w="538" w:type="dxa"/>
            <w:noWrap w:val="0"/>
            <w:vAlign w:val="top"/>
          </w:tcPr>
          <w:p w14:paraId="49CC7668">
            <w:pPr>
              <w:pStyle w:val="3"/>
              <w:spacing w:line="440" w:lineRule="exact"/>
              <w:ind w:firstLine="0" w:firstLineChars="0"/>
              <w:rPr>
                <w:rFonts w:hint="eastAsia" w:ascii="仿宋_GB2312" w:hAnsi="宋体" w:eastAsia="仿宋_GB2312"/>
                <w:bCs/>
                <w:sz w:val="30"/>
              </w:rPr>
            </w:pPr>
            <w:r>
              <w:rPr>
                <w:rFonts w:hint="eastAsia" w:ascii="仿宋_GB2312" w:hAnsi="宋体" w:eastAsia="仿宋_GB2312"/>
                <w:bCs/>
                <w:sz w:val="30"/>
              </w:rPr>
              <w:t>实习单位考核意见</w:t>
            </w:r>
          </w:p>
        </w:tc>
        <w:tc>
          <w:tcPr>
            <w:tcW w:w="8748" w:type="dxa"/>
            <w:noWrap w:val="0"/>
            <w:vAlign w:val="top"/>
          </w:tcPr>
          <w:p w14:paraId="6DE8FA19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5C9503FB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5E5A6A1D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36D83889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770F47DA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211D983F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3C05FDD6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4FDE1433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  <w:r>
              <w:rPr>
                <w:rFonts w:hint="eastAsia" w:ascii="仿宋_GB2312" w:hAnsi="宋体" w:eastAsia="仿宋_GB2312"/>
                <w:bCs/>
                <w:sz w:val="24"/>
              </w:rPr>
              <w:t xml:space="preserve">                                  负责人签字：</w:t>
            </w:r>
          </w:p>
          <w:p w14:paraId="32D98D84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  <w:r>
              <w:rPr>
                <w:rFonts w:hint="eastAsia" w:ascii="仿宋_GB2312" w:hAnsi="宋体" w:eastAsia="仿宋_GB2312"/>
                <w:bCs/>
                <w:sz w:val="24"/>
              </w:rPr>
              <w:t xml:space="preserve">                                  （单位盖章）</w:t>
            </w:r>
          </w:p>
          <w:p w14:paraId="5745E7E0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  <w:r>
              <w:rPr>
                <w:rFonts w:hint="eastAsia" w:ascii="仿宋_GB2312" w:hAnsi="宋体" w:eastAsia="仿宋_GB2312"/>
                <w:bCs/>
                <w:sz w:val="24"/>
              </w:rPr>
              <w:t xml:space="preserve">                                        年    月    日</w:t>
            </w:r>
          </w:p>
        </w:tc>
      </w:tr>
      <w:tr w14:paraId="7F5C0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</w:trPr>
        <w:tc>
          <w:tcPr>
            <w:tcW w:w="538" w:type="dxa"/>
            <w:noWrap w:val="0"/>
            <w:vAlign w:val="center"/>
          </w:tcPr>
          <w:p w14:paraId="27C9F0C3">
            <w:pPr>
              <w:pStyle w:val="3"/>
              <w:spacing w:line="440" w:lineRule="exact"/>
              <w:ind w:firstLine="0" w:firstLineChars="0"/>
              <w:jc w:val="center"/>
              <w:rPr>
                <w:rFonts w:hint="eastAsia" w:ascii="仿宋_GB2312" w:hAnsi="宋体" w:eastAsia="仿宋_GB2312"/>
                <w:bCs/>
                <w:sz w:val="30"/>
              </w:rPr>
            </w:pPr>
            <w:r>
              <w:rPr>
                <w:rFonts w:hint="eastAsia" w:ascii="仿宋_GB2312" w:hAnsi="宋体" w:eastAsia="仿宋_GB2312"/>
                <w:bCs/>
                <w:sz w:val="30"/>
              </w:rPr>
              <w:t>学系/教研室意见</w:t>
            </w:r>
          </w:p>
        </w:tc>
        <w:tc>
          <w:tcPr>
            <w:tcW w:w="8748" w:type="dxa"/>
            <w:noWrap w:val="0"/>
            <w:vAlign w:val="top"/>
          </w:tcPr>
          <w:p w14:paraId="5A804EC1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06610477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2E9155CD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24C59098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09BA5012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0314CE33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1BEFE6D9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5251CD2D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07721936">
            <w:pPr>
              <w:pStyle w:val="3"/>
              <w:ind w:firstLine="4060" w:firstLineChars="1692"/>
              <w:rPr>
                <w:rFonts w:hint="eastAsia" w:ascii="仿宋_GB2312" w:hAnsi="宋体" w:eastAsia="仿宋_GB2312"/>
                <w:bCs/>
                <w:sz w:val="24"/>
              </w:rPr>
            </w:pPr>
            <w:r>
              <w:rPr>
                <w:rFonts w:hint="eastAsia" w:ascii="仿宋_GB2312" w:hAnsi="宋体" w:eastAsia="仿宋_GB2312"/>
                <w:bCs/>
                <w:sz w:val="24"/>
              </w:rPr>
              <w:t>负责人签字：</w:t>
            </w:r>
          </w:p>
          <w:p w14:paraId="557317BB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  <w:r>
              <w:rPr>
                <w:rFonts w:hint="eastAsia" w:ascii="仿宋_GB2312" w:hAnsi="宋体" w:eastAsia="仿宋_GB2312"/>
                <w:bCs/>
                <w:sz w:val="24"/>
              </w:rPr>
              <w:t xml:space="preserve">                                  （单位盖章）</w:t>
            </w:r>
          </w:p>
          <w:p w14:paraId="0DE51FE8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  <w:r>
              <w:rPr>
                <w:rFonts w:hint="eastAsia" w:ascii="仿宋_GB2312" w:hAnsi="宋体" w:eastAsia="仿宋_GB2312"/>
                <w:bCs/>
                <w:sz w:val="24"/>
              </w:rPr>
              <w:t xml:space="preserve">                                        年    月    日</w:t>
            </w:r>
          </w:p>
        </w:tc>
      </w:tr>
      <w:tr w14:paraId="0F736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</w:trPr>
        <w:tc>
          <w:tcPr>
            <w:tcW w:w="538" w:type="dxa"/>
            <w:noWrap w:val="0"/>
            <w:vAlign w:val="center"/>
          </w:tcPr>
          <w:p w14:paraId="02507968">
            <w:pPr>
              <w:pStyle w:val="3"/>
              <w:spacing w:line="440" w:lineRule="exact"/>
              <w:ind w:firstLine="0" w:firstLineChars="0"/>
              <w:jc w:val="center"/>
              <w:rPr>
                <w:rFonts w:hint="eastAsia" w:ascii="仿宋_GB2312" w:hAnsi="宋体" w:eastAsia="仿宋_GB2312"/>
                <w:bCs/>
                <w:sz w:val="30"/>
              </w:rPr>
            </w:pPr>
            <w:r>
              <w:rPr>
                <w:rFonts w:hint="eastAsia" w:ascii="仿宋_GB2312" w:hAnsi="宋体" w:eastAsia="仿宋_GB2312"/>
                <w:bCs/>
                <w:sz w:val="30"/>
              </w:rPr>
              <w:t>学院意见</w:t>
            </w:r>
          </w:p>
        </w:tc>
        <w:tc>
          <w:tcPr>
            <w:tcW w:w="8748" w:type="dxa"/>
            <w:noWrap w:val="0"/>
            <w:vAlign w:val="top"/>
          </w:tcPr>
          <w:p w14:paraId="7BBE8F19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1FE1C4E8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53FAFA8B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550047E9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0635F802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1724D3FC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</w:p>
          <w:p w14:paraId="73D563AA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  <w:r>
              <w:rPr>
                <w:rFonts w:hint="eastAsia" w:ascii="仿宋_GB2312" w:hAnsi="宋体" w:eastAsia="仿宋_GB2312"/>
                <w:bCs/>
                <w:sz w:val="24"/>
              </w:rPr>
              <w:t xml:space="preserve">                                  负责人签字：</w:t>
            </w:r>
          </w:p>
          <w:p w14:paraId="4FC7B872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  <w:r>
              <w:rPr>
                <w:rFonts w:hint="eastAsia" w:ascii="仿宋_GB2312" w:hAnsi="宋体" w:eastAsia="仿宋_GB2312"/>
                <w:bCs/>
                <w:sz w:val="24"/>
              </w:rPr>
              <w:t xml:space="preserve">                                  （单位盖章） </w:t>
            </w:r>
          </w:p>
          <w:p w14:paraId="1B47F3ED">
            <w:pPr>
              <w:pStyle w:val="3"/>
              <w:ind w:firstLine="0" w:firstLineChars="0"/>
              <w:rPr>
                <w:rFonts w:hint="eastAsia" w:ascii="仿宋_GB2312" w:hAnsi="宋体" w:eastAsia="仿宋_GB2312"/>
                <w:bCs/>
                <w:sz w:val="24"/>
              </w:rPr>
            </w:pPr>
            <w:r>
              <w:rPr>
                <w:rFonts w:hint="eastAsia" w:ascii="仿宋_GB2312" w:hAnsi="宋体" w:eastAsia="仿宋_GB2312"/>
                <w:bCs/>
                <w:sz w:val="24"/>
              </w:rPr>
              <w:t xml:space="preserve">                                        年    月    日</w:t>
            </w:r>
          </w:p>
        </w:tc>
      </w:tr>
    </w:tbl>
    <w:p w14:paraId="7CCF827B">
      <w:pPr>
        <w:pStyle w:val="3"/>
        <w:ind w:firstLine="0" w:firstLineChars="0"/>
        <w:rPr>
          <w:rFonts w:hint="eastAsia" w:ascii="仿宋_GB2312" w:hAnsi="宋体" w:eastAsia="仿宋_GB2312"/>
          <w:bCs/>
          <w:spacing w:val="-12"/>
          <w:sz w:val="21"/>
        </w:rPr>
      </w:pPr>
      <w:r>
        <w:rPr>
          <w:rFonts w:hint="eastAsia" w:ascii="仿宋_GB2312" w:hAnsi="宋体" w:eastAsia="仿宋_GB2312"/>
          <w:bCs/>
          <w:spacing w:val="-12"/>
          <w:sz w:val="21"/>
        </w:rPr>
        <w:t>注：1. 实习名称按本科人才培养方案、教学大纲填写。</w:t>
      </w:r>
    </w:p>
    <w:p w14:paraId="61348B0D">
      <w:pPr>
        <w:pStyle w:val="3"/>
        <w:ind w:firstLine="364"/>
        <w:rPr>
          <w:rFonts w:hint="eastAsia" w:ascii="仿宋_GB2312" w:hAnsi="宋体" w:eastAsia="仿宋_GB2312"/>
          <w:bCs/>
          <w:spacing w:val="-12"/>
          <w:sz w:val="21"/>
        </w:rPr>
      </w:pPr>
      <w:r>
        <w:rPr>
          <w:rFonts w:hint="eastAsia" w:ascii="仿宋_GB2312" w:hAnsi="宋体" w:eastAsia="仿宋_GB2312"/>
          <w:bCs/>
          <w:spacing w:val="-14"/>
          <w:sz w:val="21"/>
        </w:rPr>
        <w:t>2.</w:t>
      </w:r>
      <w:r>
        <w:rPr>
          <w:rFonts w:hint="eastAsia" w:ascii="仿宋_GB2312" w:hAnsi="宋体" w:eastAsia="仿宋_GB2312"/>
          <w:bCs/>
          <w:spacing w:val="-12"/>
          <w:sz w:val="21"/>
        </w:rPr>
        <w:t xml:space="preserve"> 实习结束时，由实习学生填写报告后，交指导教师和实习单位签署意见，最后交学院教学科研办公室归档保管。</w:t>
      </w:r>
    </w:p>
    <w:p w14:paraId="678BA284">
      <w:pPr>
        <w:pStyle w:val="3"/>
        <w:ind w:firstLine="364"/>
        <w:rPr>
          <w:rFonts w:hint="eastAsia" w:ascii="仿宋_GB2312" w:hAnsi="宋体" w:eastAsia="仿宋_GB2312"/>
          <w:bCs/>
          <w:spacing w:val="-14"/>
          <w:sz w:val="24"/>
        </w:rPr>
      </w:pPr>
      <w:r>
        <w:rPr>
          <w:rFonts w:hint="eastAsia" w:ascii="仿宋_GB2312" w:hAnsi="宋体" w:eastAsia="仿宋_GB2312"/>
          <w:bCs/>
          <w:spacing w:val="-14"/>
          <w:sz w:val="21"/>
        </w:rPr>
        <w:t xml:space="preserve">                                                                               </w:t>
      </w:r>
      <w:r>
        <w:rPr>
          <w:rFonts w:hint="eastAsia" w:ascii="仿宋_GB2312" w:hAnsi="宋体" w:eastAsia="仿宋_GB2312"/>
          <w:bCs/>
          <w:sz w:val="24"/>
        </w:rPr>
        <w:t>暨南大学教务处制表</w:t>
      </w:r>
    </w:p>
    <w:sectPr>
      <w:footerReference r:id="rId3" w:type="default"/>
      <w:footerReference r:id="rId4" w:type="even"/>
      <w:pgSz w:w="11906" w:h="16838"/>
      <w:pgMar w:top="1418" w:right="1418" w:bottom="1418" w:left="1418" w:header="851" w:footer="851" w:gutter="0"/>
      <w:pgNumType w:start="1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正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文泉驿正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仿宋_GB2312">
    <w:altName w:val="文泉驿正黑"/>
    <w:panose1 w:val="02010609030101010101"/>
    <w:charset w:val="86"/>
    <w:family w:val="modern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7463B6">
    <w:pPr>
      <w:pStyle w:val="4"/>
      <w:framePr w:wrap="around" w:vAnchor="text" w:hAnchor="margin" w:xAlign="right" w:y="1"/>
      <w:rPr>
        <w:rStyle w:val="8"/>
      </w:rPr>
    </w:pPr>
  </w:p>
  <w:p w14:paraId="4931559F">
    <w:pPr>
      <w:pStyle w:val="4"/>
      <w:framePr w:wrap="around" w:vAnchor="text" w:hAnchor="margin" w:xAlign="center" w:y="1"/>
      <w:rPr>
        <w:rStyle w:val="8"/>
        <w:rFonts w:hint="eastAsia"/>
      </w:rPr>
    </w:pPr>
  </w:p>
  <w:p w14:paraId="43DB39E4">
    <w:pPr>
      <w:pStyle w:val="4"/>
      <w:framePr w:wrap="around" w:vAnchor="text" w:hAnchor="page" w:x="6099" w:y="-23"/>
      <w:ind w:right="360"/>
      <w:rPr>
        <w:rStyle w:val="8"/>
      </w:rPr>
    </w:pPr>
  </w:p>
  <w:p w14:paraId="7C951272">
    <w:pPr>
      <w:pStyle w:val="4"/>
      <w:jc w:val="center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C46DBF">
    <w:pPr>
      <w:pStyle w:val="4"/>
      <w:framePr w:wrap="around" w:vAnchor="text" w:hAnchor="margin" w:xAlign="center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0BEDFD34">
    <w:pPr>
      <w:pStyle w:val="4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6105"/>
    <w:rsid w:val="0002682E"/>
    <w:rsid w:val="00041F52"/>
    <w:rsid w:val="0019240F"/>
    <w:rsid w:val="00194B67"/>
    <w:rsid w:val="001A0070"/>
    <w:rsid w:val="002C7CEF"/>
    <w:rsid w:val="002D3269"/>
    <w:rsid w:val="00303AA0"/>
    <w:rsid w:val="00375F9D"/>
    <w:rsid w:val="004254CE"/>
    <w:rsid w:val="00454AF0"/>
    <w:rsid w:val="006157BE"/>
    <w:rsid w:val="006F204C"/>
    <w:rsid w:val="0074515E"/>
    <w:rsid w:val="007E6C8D"/>
    <w:rsid w:val="00812563"/>
    <w:rsid w:val="00826FE6"/>
    <w:rsid w:val="008D0C49"/>
    <w:rsid w:val="008F7DB3"/>
    <w:rsid w:val="00906105"/>
    <w:rsid w:val="00A63810"/>
    <w:rsid w:val="00AD0911"/>
    <w:rsid w:val="00B50F93"/>
    <w:rsid w:val="00BD1AA2"/>
    <w:rsid w:val="00BE3DD5"/>
    <w:rsid w:val="00C5525B"/>
    <w:rsid w:val="00CC53E6"/>
    <w:rsid w:val="00DF08E9"/>
    <w:rsid w:val="00E54748"/>
    <w:rsid w:val="00F428B7"/>
    <w:rsid w:val="00F83112"/>
    <w:rsid w:val="00FC61A2"/>
    <w:rsid w:val="00FF01D8"/>
    <w:rsid w:val="0D991DB0"/>
    <w:rsid w:val="13EE0BD9"/>
    <w:rsid w:val="180655CB"/>
    <w:rsid w:val="25D951D2"/>
    <w:rsid w:val="2B477CBC"/>
    <w:rsid w:val="3BD151C3"/>
    <w:rsid w:val="41423075"/>
    <w:rsid w:val="42F16D42"/>
    <w:rsid w:val="42F97FEE"/>
    <w:rsid w:val="44AD24EF"/>
    <w:rsid w:val="5D5427F7"/>
    <w:rsid w:val="5E4D57E3"/>
    <w:rsid w:val="6A8D2813"/>
    <w:rsid w:val="6AF4603A"/>
    <w:rsid w:val="6B3D53E4"/>
    <w:rsid w:val="736272D7"/>
    <w:rsid w:val="7FC7E9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0"/>
    </w:rPr>
  </w:style>
  <w:style w:type="paragraph" w:styleId="3">
    <w:name w:val="Body Text Indent"/>
    <w:basedOn w:val="1"/>
    <w:uiPriority w:val="0"/>
    <w:pPr>
      <w:ind w:firstLine="560" w:firstLineChars="200"/>
    </w:pPr>
    <w:rPr>
      <w:sz w:val="2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uiPriority w:val="0"/>
  </w:style>
  <w:style w:type="character" w:customStyle="1" w:styleId="9">
    <w:name w:val="标题 1 Char"/>
    <w:uiPriority w:val="0"/>
    <w:rPr>
      <w:rFonts w:eastAsia="宋体"/>
      <w:b/>
      <w:bCs/>
      <w:kern w:val="44"/>
      <w:sz w:val="44"/>
      <w:szCs w:val="4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暨南大学</Company>
  <Pages>9</Pages>
  <Words>669</Words>
  <Characters>680</Characters>
  <Lines>10</Lines>
  <Paragraphs>3</Paragraphs>
  <TotalTime>22</TotalTime>
  <ScaleCrop>false</ScaleCrop>
  <LinksUpToDate>false</LinksUpToDate>
  <CharactersWithSpaces>1488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2005-05-31T14:36:00Z</dcterms:created>
  <dc:creator>江博仙</dc:creator>
  <cp:lastModifiedBy>zkf</cp:lastModifiedBy>
  <cp:lastPrinted>2025-03-11T14:42:00Z</cp:lastPrinted>
  <dcterms:modified xsi:type="dcterms:W3CDTF">2026-07-24T10:46:04Z</dcterms:modified>
  <dc:title>暨  南  大  学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KSOTemplateDocerSaveRecord">
    <vt:lpwstr>eyJoZGlkIjoiM2VhNzBhNjVjMTY2MmI0ZjgxZjA5ZDljYzVlZDc5NGUiLCJ1c2VySWQiOiIzMDY5MjczMTAifQ==</vt:lpwstr>
  </property>
  <property fmtid="{D5CDD505-2E9C-101B-9397-08002B2CF9AE}" pid="4" name="ICV">
    <vt:lpwstr>1904F08DCAA8414397C3D3A3CE53292F_13</vt:lpwstr>
  </property>
</Properties>
</file>