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b/>
          <w:bCs/>
          <w:color w:val="55657A"/>
          <w:sz w:val="26"/>
          <w:szCs w:val="26"/>
        </w:rPr>
        <w:t xml:space="preserve">NORTHBRIDGE FINANCIAL GROUP</w:t>
      </w:r>
    </w:p>
    <w:p>
      <w:pPr>
        <w:spacing w:after="40"/>
        <w:jc w:val="center"/>
      </w:pPr>
      <w:r>
        <w:rPr>
          <w:b/>
          <w:bCs/>
          <w:color w:val="0F2A47"/>
          <w:sz w:val="44"/>
          <w:szCs w:val="44"/>
        </w:rPr>
        <w:t xml:space="preserve">PROJECT CHARTER</w:t>
      </w:r>
    </w:p>
    <w:p>
      <w:pPr>
        <w:spacing w:after="280"/>
        <w:jc w:val="center"/>
      </w:pPr>
      <w:r>
        <w:rPr>
          <w:color w:val="55657A"/>
          <w:sz w:val="30"/>
          <w:szCs w:val="30"/>
        </w:rPr>
        <w:t xml:space="preserve">Digital Banking Platform Upgrade</w:t>
      </w:r>
    </w:p>
    <w:p>
      <w:pPr>
        <w:pStyle w:val="Heading1"/>
        <w:spacing w:after="120" w:before="300"/>
      </w:pPr>
      <w:r>
        <w:rPr>
          <w:color w:val="0F2A47"/>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Document title</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Project Charter — Digital Banking Platform Upgrade</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Project ID</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PRJ-2026-0147</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Programme</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Retail Digital Transformation Programme (PRG-2026-004)</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Portfolio</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Technology &amp; Operations</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Cost centre</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CC-4410 — Digital Banking Technology</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Version</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1.2 (Approved)</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Author</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Keshaav Gite — Project Control Officer</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Date issued</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15 January 2026</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Classification</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Internal — Confidential</w:t>
            </w:r>
          </w:p>
        </w:tc>
      </w:tr>
      <w:tr>
        <w:tc>
          <w:tcPr>
            <w:tcW w:type="dxa" w:w="2600"/>
            <w:tcBorders>
              <w:top w:val="single" w:color="C9D2DC" w:sz="2"/>
              <w:left w:val="single" w:color="C9D2DC" w:sz="2"/>
              <w:bottom w:val="single" w:color="C9D2DC" w:sz="2"/>
              <w:right w:val="single" w:color="C9D2DC" w:sz="2"/>
            </w:tcBorders>
            <w:shd w:fill="EEF3F7" w:color="auto" w:val="clear"/>
            <w:tcMar>
              <w:top w:type="dxa" w:w="70"/>
              <w:left w:type="dxa" w:w="110"/>
              <w:bottom w:type="dxa" w:w="70"/>
              <w:right w:type="dxa" w:w="110"/>
            </w:tcMar>
          </w:tcPr>
          <w:p>
            <w:r>
              <w:rPr>
                <w:b/>
                <w:bCs/>
                <w:sz w:val="19"/>
                <w:szCs w:val="19"/>
              </w:rPr>
              <w:t xml:space="preserve">Review cycle</w:t>
            </w:r>
          </w:p>
        </w:tc>
        <w:tc>
          <w:tcPr>
            <w:tcW w:type="dxa" w:w="6760"/>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At each stage gate; on any change to scope, cost or schedule baseline</w:t>
            </w:r>
          </w:p>
        </w:tc>
      </w:tr>
    </w:tbl>
    <w:p>
      <w:pPr>
        <w:spacing w:after="120"/>
      </w:pPr>
    </w:p>
    <w:p>
      <w:pPr>
        <w:spacing w:after="100"/>
      </w:pPr>
      <w:r>
        <w:rPr>
          <w:b/>
          <w:bCs/>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700"/>
        <w:gridCol w:w="5460"/>
      </w:tblGrid>
      <w:tr>
        <w:trPr>
          <w:tblHeader/>
        </w:trPr>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Ver</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Date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Author</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Change summary</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0.1</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08 Jan 2026</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K. Gite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Initial draft from approved business case</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1.0</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15 Jan 2026</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K. Gite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Approved at Project Board; baseline set</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1.1</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06 Mar 2026</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K. Gite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CR-001 (real-time payment notifications) incorporated</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1.2</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20 Aug 2026</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K. Gite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CR-003 (contingency drawdown) reflected in budget section</w:t>
            </w:r>
          </w:p>
        </w:tc>
      </w:tr>
    </w:tbl>
    <w:p>
      <w:r>
        <w:br w:type="page"/>
      </w:r>
    </w:p>
    <w:p>
      <w:pPr>
        <w:pStyle w:val="Heading1"/>
        <w:spacing w:after="120" w:before="300"/>
      </w:pPr>
      <w:r>
        <w:rPr>
          <w:color w:val="0F2A47"/>
        </w:rPr>
        <w:t xml:space="preserve">1. Purpose &amp; Business Justification</w:t>
      </w:r>
    </w:p>
    <w:p>
      <w:pPr>
        <w:spacing w:after="100"/>
      </w:pPr>
      <w:r>
        <w:t xml:space="preserve">Northbridge Financial Group’s retail digital banking platform is eight years old. It cannot support real-time payments, its release cycle is twelve weeks, and it does not meet the technology-risk control expectations set out in OSFI Guideline B-13. Customer attrition in the under-35 segment has risen for three consecutive quarters, with digital experience cited as the primary driver in exit surveys.</w:t>
      </w:r>
    </w:p>
    <w:p>
      <w:pPr>
        <w:spacing w:after="100"/>
      </w:pPr>
      <w:r>
        <w:t xml:space="preserve">This project upgrades the platform to a modern, API-first architecture — enabling real-time payments, a two-week release cycle, and the control evidence required under B-13.</w:t>
      </w:r>
    </w:p>
    <w:p>
      <w:pPr>
        <w:spacing w:after="100"/>
      </w:pPr>
      <w:r>
        <w:rPr>
          <w:b/>
          <w:bCs/>
        </w:rPr>
        <w:t xml:space="preserve">Business case reference: </w:t>
      </w:r>
      <w:r>
        <w:t xml:space="preserve">BC-2026-0147, approved by the Technology Investment Committee on 8 January 2026.</w:t>
      </w:r>
    </w:p>
    <w:p>
      <w:pPr>
        <w:spacing w:after="120"/>
      </w:pPr>
    </w:p>
    <w:p>
      <w:pPr>
        <w:pStyle w:val="Heading1"/>
        <w:spacing w:after="120" w:before="300"/>
      </w:pPr>
      <w:r>
        <w:rPr>
          <w:color w:val="0F2A47"/>
        </w:rPr>
        <w:t xml:space="preserve">2. Objectives &amp;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960"/>
      </w:tblGrid>
      <w:tr>
        <w:trPr>
          <w:tblHeader/>
        </w:trPr>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Objective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Measure of success</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Deliver the upgraded platform to production</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Go-live achieved with zero Severity-1 defects in hypercare</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2</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Enable real-time payment capability</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Interac e-Transfer real-time settlement live at go-live</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3</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Meet OSFI B-13 technology-risk expectations</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Evidence pack accepted by Risk &amp; Compliance before go-live</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4</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Reduce release cycle time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From 12 weeks to ≤2 weeks, evidenced by two post-go-live releases</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5</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Deliver within approved funding</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Forecast at completion within the $1,260,000 approved budget</w:t>
            </w:r>
          </w:p>
        </w:tc>
      </w:tr>
    </w:tbl>
    <w:p>
      <w:pPr>
        <w:spacing w:after="120"/>
      </w:pPr>
    </w:p>
    <w:p>
      <w:pPr>
        <w:pStyle w:val="Heading1"/>
        <w:spacing w:after="120" w:before="300"/>
      </w:pPr>
      <w:r>
        <w:rPr>
          <w:color w:val="0F2A47"/>
        </w:rPr>
        <w:t xml:space="preserve">3. Scope</w:t>
      </w:r>
    </w:p>
    <w:p>
      <w:pPr>
        <w:spacing w:after="100"/>
      </w:pPr>
      <w:r>
        <w:rPr>
          <w:b/>
          <w:bCs/>
        </w:rPr>
        <w:t xml:space="preserve">In scope</w:t>
      </w:r>
    </w:p>
    <w:p>
      <w:pPr>
        <w:pStyle w:val="ListParagraph"/>
        <w:numPr>
          <w:ilvl w:val="0"/>
          <w:numId w:val="2"/>
        </w:numPr>
        <w:spacing w:after="60"/>
      </w:pPr>
      <w:r>
        <w:t xml:space="preserve">Core digital banking platform upgrade — retail current accounts, savings, and card servicing.</w:t>
      </w:r>
    </w:p>
    <w:p>
      <w:pPr>
        <w:pStyle w:val="ListParagraph"/>
        <w:numPr>
          <w:ilvl w:val="0"/>
          <w:numId w:val="2"/>
        </w:numPr>
        <w:spacing w:after="60"/>
      </w:pPr>
      <w:r>
        <w:t xml:space="preserve">Real-time payments integration (Interac e-Transfer) and the payments-gateway rebuild.</w:t>
      </w:r>
    </w:p>
    <w:p>
      <w:pPr>
        <w:pStyle w:val="ListParagraph"/>
        <w:numPr>
          <w:ilvl w:val="0"/>
          <w:numId w:val="2"/>
        </w:numPr>
        <w:spacing w:after="60"/>
      </w:pPr>
      <w:r>
        <w:t xml:space="preserve">Data migration: vendor master, open accounts payable, and general-ledger opening balances.</w:t>
      </w:r>
    </w:p>
    <w:p>
      <w:pPr>
        <w:pStyle w:val="ListParagraph"/>
        <w:numPr>
          <w:ilvl w:val="0"/>
          <w:numId w:val="2"/>
        </w:numPr>
        <w:spacing w:after="60"/>
      </w:pPr>
      <w:r>
        <w:t xml:space="preserve">System integration testing, user acceptance testing, cutover, and two weeks of hypercare.</w:t>
      </w:r>
    </w:p>
    <w:p>
      <w:pPr>
        <w:pStyle w:val="ListParagraph"/>
        <w:numPr>
          <w:ilvl w:val="0"/>
          <w:numId w:val="2"/>
        </w:numPr>
        <w:spacing w:after="60"/>
      </w:pPr>
      <w:r>
        <w:t xml:space="preserve">OSFI B-13 control-evidence pack (added under CR-006).</w:t>
      </w:r>
    </w:p>
    <w:p>
      <w:pPr>
        <w:pStyle w:val="ListParagraph"/>
        <w:numPr>
          <w:ilvl w:val="0"/>
          <w:numId w:val="2"/>
        </w:numPr>
        <w:spacing w:after="60"/>
      </w:pPr>
      <w:r>
        <w:t xml:space="preserve">Real-time payment notifications (added under CR-001).</w:t>
      </w:r>
    </w:p>
    <w:p>
      <w:pPr>
        <w:spacing w:after="120"/>
      </w:pPr>
    </w:p>
    <w:p>
      <w:pPr>
        <w:spacing w:after="100"/>
      </w:pPr>
      <w:r>
        <w:rPr>
          <w:b/>
          <w:bCs/>
        </w:rPr>
        <w:t xml:space="preserve">Out of scope</w:t>
      </w:r>
    </w:p>
    <w:p>
      <w:pPr>
        <w:pStyle w:val="ListParagraph"/>
        <w:numPr>
          <w:ilvl w:val="0"/>
          <w:numId w:val="2"/>
        </w:numPr>
        <w:spacing w:after="60"/>
      </w:pPr>
      <w:r>
        <w:rPr>
          <w:b/>
          <w:bCs/>
        </w:rPr>
        <w:t xml:space="preserve">Wealth-management module integration</w:t>
      </w:r>
      <w:r>
        <w:t xml:space="preserve"> — deferred to Phase 2 under CR-002. Owner: Wealth Technology.</w:t>
      </w:r>
    </w:p>
    <w:p>
      <w:pPr>
        <w:pStyle w:val="ListParagraph"/>
        <w:numPr>
          <w:ilvl w:val="0"/>
          <w:numId w:val="2"/>
        </w:numPr>
        <w:spacing w:after="60"/>
      </w:pPr>
      <w:r>
        <w:rPr>
          <w:b/>
          <w:bCs/>
        </w:rPr>
        <w:t xml:space="preserve">Commercial and business banking channels</w:t>
      </w:r>
      <w:r>
        <w:t xml:space="preserve"> — separate programme (PRG-2026-011).</w:t>
      </w:r>
    </w:p>
    <w:p>
      <w:pPr>
        <w:pStyle w:val="ListParagraph"/>
        <w:numPr>
          <w:ilvl w:val="0"/>
          <w:numId w:val="2"/>
        </w:numPr>
        <w:spacing w:after="60"/>
      </w:pPr>
      <w:r>
        <w:rPr>
          <w:b/>
          <w:bCs/>
        </w:rPr>
        <w:t xml:space="preserve">Branch teller system</w:t>
      </w:r>
      <w:r>
        <w:t xml:space="preserve"> — no change in this release. Owner: Branch Technology.</w:t>
      </w:r>
    </w:p>
    <w:p>
      <w:pPr>
        <w:pStyle w:val="ListParagraph"/>
        <w:numPr>
          <w:ilvl w:val="0"/>
          <w:numId w:val="2"/>
        </w:numPr>
        <w:spacing w:after="60"/>
      </w:pPr>
      <w:r>
        <w:rPr>
          <w:b/>
          <w:bCs/>
        </w:rPr>
        <w:t xml:space="preserve">Customer data migration beyond the 7-year retention window</w:t>
      </w:r>
      <w:r>
        <w:t xml:space="preserve"> — archived, not migrated. Owner: Data Governance.</w:t>
      </w:r>
    </w:p>
    <w:p>
      <w:pPr>
        <w:pStyle w:val="ListParagraph"/>
        <w:numPr>
          <w:ilvl w:val="0"/>
          <w:numId w:val="2"/>
        </w:numPr>
        <w:spacing w:after="60"/>
      </w:pPr>
      <w:r>
        <w:rPr>
          <w:b/>
          <w:bCs/>
        </w:rPr>
        <w:t xml:space="preserve">Decisions on headcount arising from efficiency gains</w:t>
      </w:r>
      <w:r>
        <w:t xml:space="preserve"> — owned by the business, not this project.</w:t>
      </w:r>
    </w:p>
    <w:p>
      <w:pPr>
        <w:spacing w:after="120"/>
      </w:pPr>
    </w:p>
    <w:p>
      <w:pPr>
        <w:pStyle w:val="Heading1"/>
        <w:spacing w:after="120" w:before="300"/>
      </w:pPr>
      <w:r>
        <w:rPr>
          <w:color w:val="0F2A47"/>
        </w:rPr>
        <w:t xml:space="preserve">4. Delivery Approach &amp; Milestones</w:t>
      </w:r>
    </w:p>
    <w:p>
      <w:pPr>
        <w:spacing w:after="100"/>
      </w:pPr>
      <w:r>
        <w:t xml:space="preserve">Delivery follows Northbridge’s standard SDLC with stage gates at design, build, UAT and go/no-go. The systems integrator (Meridian) delivers the build under a milestone-billed contract with a 10% holdback. The schedule is maintained in Microsoft Project and baselined; actual spend is drawn from Dynamics 365 Finance.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1700"/>
        <w:gridCol w:w="3660"/>
      </w:tblGrid>
      <w:tr>
        <w:trPr>
          <w:tblHeader/>
        </w:trPr>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ID</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Milestone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Baseline date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Gate / approver</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M1</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Project approved &amp; funded</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15 Jan 2026</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Technology Investment Committee</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M2</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Design baselined</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12 Mar 2026</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Business Owner + Risk &amp; Compliance</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M3</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Build complete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09 Jul 2026</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IT Delivery Lead</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M4</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UAT signed off</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15 Oct 2026</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Business Owner</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M5</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Go-live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05 Nov 2026</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Sponsor — go/no-go</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M6</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Project closed</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26 Nov 2026</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Project Board</w:t>
            </w:r>
          </w:p>
        </w:tc>
      </w:tr>
    </w:tbl>
    <w:p>
      <w:r>
        <w:br w:type="page"/>
      </w:r>
    </w:p>
    <w:p>
      <w:pPr>
        <w:pStyle w:val="Heading1"/>
        <w:spacing w:after="120" w:before="300"/>
      </w:pPr>
      <w:r>
        <w:rPr>
          <w:color w:val="0F2A47"/>
        </w:rPr>
        <w:t xml:space="preserve">5. Funding &amp; Budget</w:t>
      </w:r>
    </w:p>
    <w:p>
      <w:pPr>
        <w:spacing w:after="100"/>
      </w:pPr>
      <w:r>
        <w:rPr>
          <w:b/>
          <w:bCs/>
        </w:rPr>
        <w:t xml:space="preserve">Funding source: </w:t>
      </w:r>
      <w:r>
        <w:t xml:space="preserve">FY2026 Technology Capital Programme, cost centre CC-4410. Benefit type: revenue protection (attrition reduction) and regulatory compliance.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60"/>
        <w:gridCol w:w="3300"/>
      </w:tblGrid>
      <w:tr>
        <w:trPr>
          <w:tblHeader/>
        </w:trPr>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Cost category</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Approved budget (CAD)</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SI partner fees (Meridian)</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$420,000</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Internal labour</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$260,000</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Contractor labour</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$180,000</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Software licences</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$145,000</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Hardware &amp; infrastructure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$90,000</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Cloud / hosting</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$60,000</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Training &amp; change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$25,000</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Travel</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$12,000</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Contingency (5.4%)</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$68,000</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TOTAL BUDGET AT COMPLETION (BAC)</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$1,260,000</w:t>
            </w:r>
          </w:p>
        </w:tc>
      </w:tr>
    </w:tbl>
    <w:p>
      <w:pPr>
        <w:spacing w:after="120"/>
      </w:pPr>
    </w:p>
    <w:p>
      <w:pPr>
        <w:spacing w:after="100"/>
      </w:pPr>
      <w:r>
        <w:rPr>
          <w:b/>
          <w:bCs/>
        </w:rPr>
        <w:t xml:space="preserve">Financial control: </w:t>
      </w:r>
      <w:r>
        <w:t xml:space="preserve">actual spend is drawn monthly from Dynamics 365 Finance (AP vendor transactions). Committed costs (open purchase orders) are tracked separately and included in the forecast at completion. Contingency drawdown requires sponsor approval through change control.</w:t>
      </w:r>
    </w:p>
    <w:p>
      <w:pPr>
        <w:spacing w:after="120"/>
      </w:pPr>
    </w:p>
    <w:p>
      <w:pPr>
        <w:pStyle w:val="Heading1"/>
        <w:spacing w:after="120" w:before="300"/>
      </w:pPr>
      <w:r>
        <w:rPr>
          <w:color w:val="0F2A47"/>
        </w:rPr>
        <w:t xml:space="preserve">6. Governance &amp; Approval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Body / role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Cadence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Authority</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Project Board (Sponsor chairs)</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Monthly</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Approves changes &gt;$25,000; owns the go/no-go decision</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Delivery Review (IT Delivery Lead)</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Weekly</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Approves changes ≤$25,000; escalates schedule risk</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PCO checkpoint</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Weekly</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Maintains RAID, cost forecast, schedule; issues the status pack</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Risk &amp; Compliance gate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At design and pre-go-live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Approves B-13 control evidence; can block go-live</w:t>
            </w:r>
          </w:p>
        </w:tc>
      </w:tr>
    </w:tbl>
    <w:p>
      <w:pPr>
        <w:spacing w:after="120"/>
      </w:pPr>
    </w:p>
    <w:p>
      <w:pPr>
        <w:pStyle w:val="Heading1"/>
        <w:spacing w:after="120" w:before="300"/>
      </w:pPr>
      <w:r>
        <w:rPr>
          <w:color w:val="0F2A47"/>
        </w:rPr>
        <w:t xml:space="preserve">7.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Role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Responsibility</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VP Digital Banking (Sponsor)</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Accountable for benefits and funding; chairs the Project Board; owns go/no-go</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Head of Retail Banking (Business Owner)</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Accountable for design sign-off and UAT acceptance</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IT Delivery Lead</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Responsible for build, environments and technical delivery</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SI Engagement Manager (Meridian)</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Responsible for the contracted build and migration</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Finance Business Partner</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Consulted on cost, accruals and forecast validation</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Risk &amp; Compliance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Consulted on OSFI B-13; holds a go-live veto</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Project Control Officer (Keshaav Gite)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Responsible for schedule, cost control, RAID and reporting</w:t>
            </w:r>
          </w:p>
        </w:tc>
      </w:tr>
    </w:tbl>
    <w:p>
      <w:pPr>
        <w:spacing w:after="120"/>
      </w:pPr>
    </w:p>
    <w:p>
      <w:pPr>
        <w:pStyle w:val="Heading1"/>
        <w:spacing w:after="120" w:before="300"/>
      </w:pPr>
      <w:r>
        <w:rPr>
          <w:color w:val="0F2A47"/>
        </w:rPr>
        <w:t xml:space="preserve">8. Assumptions, Constraints &amp; Key Risks</w:t>
      </w:r>
    </w:p>
    <w:p>
      <w:pPr>
        <w:spacing w:after="100"/>
      </w:pPr>
      <w:r>
        <w:rPr>
          <w:b/>
          <w:bCs/>
        </w:rPr>
        <w:t xml:space="preserve">Assumptions</w:t>
      </w:r>
    </w:p>
    <w:p>
      <w:pPr>
        <w:pStyle w:val="ListParagraph"/>
        <w:numPr>
          <w:ilvl w:val="0"/>
          <w:numId w:val="2"/>
        </w:numPr>
        <w:spacing w:after="60"/>
      </w:pPr>
      <w:r>
        <w:t xml:space="preserve">Business testers are available for the full UAT window outside quarter-end (A-001).</w:t>
      </w:r>
    </w:p>
    <w:p>
      <w:pPr>
        <w:pStyle w:val="ListParagraph"/>
        <w:numPr>
          <w:ilvl w:val="0"/>
          <w:numId w:val="2"/>
        </w:numPr>
        <w:spacing w:after="60"/>
      </w:pPr>
      <w:r>
        <w:t xml:space="preserve">No further OSFI B-13 requirements land before go-live (A-002).</w:t>
      </w:r>
    </w:p>
    <w:p>
      <w:pPr>
        <w:spacing w:after="100"/>
      </w:pPr>
      <w:r>
        <w:rPr>
          <w:b/>
          <w:bCs/>
        </w:rPr>
        <w:t xml:space="preserve">Constraints</w:t>
      </w:r>
    </w:p>
    <w:p>
      <w:pPr>
        <w:pStyle w:val="ListParagraph"/>
        <w:numPr>
          <w:ilvl w:val="0"/>
          <w:numId w:val="2"/>
        </w:numPr>
        <w:spacing w:after="60"/>
      </w:pPr>
      <w:r>
        <w:t xml:space="preserve">Go-live must not fall within the retail quarter-end close period.</w:t>
      </w:r>
    </w:p>
    <w:p>
      <w:pPr>
        <w:pStyle w:val="ListParagraph"/>
        <w:numPr>
          <w:ilvl w:val="0"/>
          <w:numId w:val="2"/>
        </w:numPr>
        <w:spacing w:after="60"/>
      </w:pPr>
      <w:r>
        <w:t xml:space="preserve">No customer-facing downtime beyond the agreed 4-hour cutover window.</w:t>
      </w:r>
    </w:p>
    <w:p>
      <w:pPr>
        <w:spacing w:after="100"/>
      </w:pPr>
      <w:r>
        <w:rPr>
          <w:b/>
          <w:bCs/>
        </w:rPr>
        <w:t xml:space="preserve">Key risks at charter approval</w:t>
      </w:r>
    </w:p>
    <w:p>
      <w:pPr>
        <w:pStyle w:val="ListParagraph"/>
        <w:numPr>
          <w:ilvl w:val="0"/>
          <w:numId w:val="2"/>
        </w:numPr>
        <w:spacing w:after="60"/>
      </w:pPr>
      <w:r>
        <w:t xml:space="preserve">SI partner delivery record — milestone billing with a 10% holdback applied (R-001).</w:t>
      </w:r>
    </w:p>
    <w:p>
      <w:pPr>
        <w:pStyle w:val="ListParagraph"/>
        <w:numPr>
          <w:ilvl w:val="0"/>
          <w:numId w:val="2"/>
        </w:numPr>
        <w:spacing w:after="60"/>
      </w:pPr>
      <w:r>
        <w:t xml:space="preserve">UAT window may clash with quarter-end — testers pre-booked; contingency plan held (R-002).</w:t>
      </w:r>
    </w:p>
    <w:p>
      <w:r>
        <w:br w:type="page"/>
      </w:r>
    </w:p>
    <w:p>
      <w:pPr>
        <w:pStyle w:val="Heading1"/>
        <w:spacing w:after="120" w:before="300"/>
      </w:pPr>
      <w:r>
        <w:rPr>
          <w:color w:val="0F2A47"/>
        </w:rPr>
        <w:t xml:space="preserve">9. Approval</w:t>
      </w:r>
    </w:p>
    <w:p>
      <w:pPr>
        <w:spacing w:after="100"/>
      </w:pPr>
      <w:r>
        <w:t xml:space="preserve">By signing below, the approvers confirm that the objectives, scope, budget and governance set out in this charter are agreed, and authorise the project to proceed.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160"/>
        <w:gridCol w:w="1600"/>
      </w:tblGrid>
      <w:tr>
        <w:trPr>
          <w:tblHeader/>
        </w:trPr>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Role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Name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Signature</w:t>
            </w:r>
          </w:p>
        </w:tc>
        <w:tc>
          <w:tcPr>
            <w:tcBorders>
              <w:top w:val="single" w:color="C9D2DC" w:sz="2"/>
              <w:left w:val="single" w:color="C9D2DC" w:sz="2"/>
              <w:bottom w:val="single" w:color="C9D2DC" w:sz="2"/>
              <w:right w:val="single" w:color="C9D2DC" w:sz="2"/>
            </w:tcBorders>
            <w:shd w:fill="0F2A47" w:color="auto" w:val="clear"/>
            <w:tcMar>
              <w:top w:type="dxa" w:w="70"/>
              <w:left w:type="dxa" w:w="110"/>
              <w:bottom w:type="dxa" w:w="70"/>
              <w:right w:type="dxa" w:w="110"/>
            </w:tcMar>
          </w:tcPr>
          <w:p>
            <w:r>
              <w:rPr>
                <w:b/>
                <w:bCs/>
                <w:color w:val="FFFFFF"/>
                <w:sz w:val="19"/>
                <w:szCs w:val="19"/>
              </w:rPr>
              <w:t xml:space="preserve">Date</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Executive Sponsor — VP Digital Banking</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15 Jan 2026</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Business Owner — Head of Retail Banking</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15 Jan 2026</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IT Delivery Lead</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15 Jan 2026</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Risk &amp; Compliance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15 Jan 2026</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Finance Business Partner</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15 Jan 2026</w:t>
            </w:r>
          </w:p>
        </w:tc>
      </w:tr>
      <w:tr>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Project Control Officer — K. Gite</w:t>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
            </w:r>
          </w:p>
        </w:tc>
        <w:tc>
          <w:tcPr>
            <w:tcBorders>
              <w:top w:val="single" w:color="C9D2DC" w:sz="2"/>
              <w:left w:val="single" w:color="C9D2DC" w:sz="2"/>
              <w:bottom w:val="single" w:color="C9D2DC" w:sz="2"/>
              <w:right w:val="single" w:color="C9D2DC" w:sz="2"/>
            </w:tcBorders>
            <w:tcMar>
              <w:top w:type="dxa" w:w="70"/>
              <w:left w:type="dxa" w:w="110"/>
              <w:bottom w:type="dxa" w:w="70"/>
              <w:right w:type="dxa" w:w="110"/>
            </w:tcMar>
          </w:tcPr>
          <w:p>
            <w:r>
              <w:rPr>
                <w:b w:val="false"/>
                <w:bCs w:val="false"/>
                <w:sz w:val="19"/>
                <w:szCs w:val="19"/>
              </w:rPr>
              <w:t xml:space="preserve">15 Jan 2026</w:t>
            </w:r>
          </w:p>
        </w:tc>
      </w:tr>
    </w:tbl>
    <w:p>
      <w:pPr>
        <w:spacing w:after="120"/>
      </w:pPr>
    </w:p>
    <w:p>
      <w:pPr>
        <w:spacing w:before="300"/>
      </w:pPr>
      <w:r>
        <w:rPr>
          <w:i/>
          <w:iCs/>
          <w:color w:val="55657A"/>
          <w:sz w:val="17"/>
          <w:szCs w:val="17"/>
        </w:rPr>
        <w:t xml:space="preserve">Practice artifact. Northbridge Financial Group is a fictional institution; this charter is built to the structure and standard of a real Canadian bank project charter to demonstrate PCO capability. Built solo; AI-assisted with human verification of every figure.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F2A47"/>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2026-07-11T05:24:53.241Z</dcterms:created>
  <dcterms:modified xsi:type="dcterms:W3CDTF">2026-07-11T05:24:53.250Z</dcterms:modified>
</cp:coreProperties>
</file>

<file path=docProps/custom.xml><?xml version="1.0" encoding="utf-8"?>
<Properties xmlns="http://schemas.openxmlformats.org/officeDocument/2006/custom-properties" xmlns:vt="http://schemas.openxmlformats.org/officeDocument/2006/docPropsVTypes"/>
</file>