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2A47"/>
          <w:sz w:val="30"/>
          <w:szCs w:val="30"/>
        </w:rPr>
        <w:t xml:space="preserve">PRJ-02 — IMPACT &amp; LEADERSHIP ONE-PAGER</w:t>
      </w:r>
    </w:p>
    <w:p>
      <w:pPr>
        <w:spacing w:after="200"/>
      </w:pPr>
      <w:r>
        <w:rPr>
          <w:color w:val="55657A"/>
          <w:sz w:val="20"/>
          <w:szCs w:val="20"/>
        </w:rPr>
        <w:t xml:space="preserve">Portfolio Governance &amp; Resource Capacity Uplift · what I actually changed, in numbers</w:t>
      </w:r>
    </w:p>
    <w:p>
      <w:pPr>
        <w:spacing w:after="100"/>
      </w:pPr>
      <w:r>
        <w:rPr>
          <w:b/>
          <w:bCs/>
          <w:color w:val="0F2A47"/>
          <w:sz w:val="24"/>
          <w:szCs w:val="24"/>
        </w:rPr>
        <w:t xml:space="preserve">The situation</w:t>
      </w:r>
    </w:p>
    <w:p>
      <w:pPr>
        <w:spacing w:after="140"/>
      </w:pPr>
      <w:r>
        <w:rPr>
          <w:sz w:val="21"/>
          <w:szCs w:val="21"/>
        </w:rPr>
        <w:t xml:space="preserve">A consultancy running 6 client projects off a shared bench of 15 specialists, resourced in disconnected spreadsheets. Portfolio utilisation averaged 86% — healthy on paper. But an average is a place people drown in on the way across.</w:t>
      </w:r>
    </w:p>
    <w:p>
      <w:pPr>
        <w:spacing w:after="100"/>
      </w:pPr>
      <w:r>
        <w:rPr>
          <w:b/>
          <w:bCs/>
          <w:color w:val="0F2A47"/>
          <w:sz w:val="24"/>
          <w:szCs w:val="24"/>
        </w:rPr>
        <w:t xml:space="preserve">What I found (the nightmare the average hid)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0F2A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 caught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0F2A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was a crisis, in numbers</w:t>
            </w:r>
          </w:p>
        </w:tc>
      </w:tr>
      <w:t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7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Senior Developer booked at 140% for 3 straight weeks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Across 3 projects at once. Two were fixed-price go-lives — their deadlines were one sick-day away from slipping. Sustained &gt;90% is the industry burnout line; 140% is a person about to break.</w:t>
            </w:r>
          </w:p>
        </w:tc>
      </w:tr>
      <w:t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7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part-time BA (32h) booked to 40h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contract breach hiding in plain sight — 125% of a capped contract.</w:t>
            </w:r>
          </w:p>
        </w:tc>
      </w:tr>
      <w:t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F7EA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 data defects distorting capacity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ghost resource covering 30h of real work, duplicate and blank bookings, and ~60h of ‘tentative’ holds that looked used but were never committed.</w:t>
            </w:r>
          </w:p>
        </w:tc>
      </w:tr>
    </w:tbl>
    <w:p>
      <w:pPr>
        <w:spacing w:after="100" w:before="200"/>
      </w:pPr>
      <w:r>
        <w:rPr>
          <w:b/>
          <w:bCs/>
          <w:color w:val="0F2A47"/>
          <w:sz w:val="24"/>
          <w:szCs w:val="24"/>
        </w:rPr>
        <w:t xml:space="preserve">What I did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0F2A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0F2A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Quantified result</w:t>
            </w:r>
          </w:p>
        </w:tc>
      </w:tr>
      <w:t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Rebalanced the over-booked developer to 100%; moved 20h/wk to a mid-level dev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D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C7A50"/>
                <w:sz w:val="19"/>
                <w:szCs w:val="19"/>
              </w:rPr>
              <w:t xml:space="preserve">Protected 2 fixed-price go-lives; removed the burnout risk</w:t>
            </w:r>
          </w:p>
        </w:tc>
      </w:tr>
      <w:t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Held the part-timer to contract; redistributed the surplus demand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 &amp; wellbeing protected; demand rebalanced across the bench</w:t>
            </w:r>
          </w:p>
        </w:tc>
      </w:tr>
      <w:t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Cleared the ghost, duplicate, blank and tentative bookings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shd w:fill="EDF4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C7A50"/>
                <w:sz w:val="19"/>
                <w:szCs w:val="19"/>
              </w:rPr>
              <w:t xml:space="preserve">Surfaced ~60h of hidden capacity the PMO didn’t know it had</w:t>
            </w:r>
          </w:p>
        </w:tc>
      </w:tr>
      <w:tr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Stood it all up in a centralized capacity &amp; governance model + a Power BI utilisation dashboard + a Power Automate flow to chase unconfirmed bookings</w:t>
            </w:r>
          </w:p>
        </w:tc>
        <w:tc>
          <w:tcPr>
            <w:tcBorders>
              <w:top w:val="single" w:color="C9D2DC" w:sz="2"/>
              <w:left w:val="single" w:color="C9D2DC" w:sz="2"/>
              <w:bottom w:val="single" w:color="C9D2DC" w:sz="2"/>
              <w:right w:val="single" w:color="C9D2D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source of truth; over-allocation now visible weekly, not discovered in a crisis</w:t>
            </w:r>
          </w:p>
        </w:tc>
      </w:tr>
    </w:tbl>
    <w:p>
      <w:pPr>
        <w:spacing w:after="100" w:before="220"/>
      </w:pPr>
      <w:r>
        <w:rPr>
          <w:b/>
          <w:bCs/>
          <w:color w:val="0F2A47"/>
          <w:sz w:val="24"/>
          <w:szCs w:val="24"/>
        </w:rPr>
        <w:t xml:space="preserve">The line I say out loud</w:t>
      </w:r>
    </w:p>
    <w:tbl>
      <w:tblPr>
        <w:tblW w:type="dxa" w:w="9360"/>
        <w:tblBorders>
          <w:top w:val="single" w:color="1C7A50" w:sz="6"/>
          <w:left w:val="single" w:color="1C7A50" w:sz="6"/>
          <w:bottom w:val="single" w:color="1C7A50" w:sz="6"/>
          <w:right w:val="single" w:color="1C7A5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DF4E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i/>
                <w:iCs/>
                <w:color w:val="0F2A47"/>
                <w:sz w:val="22"/>
                <w:szCs w:val="22"/>
              </w:rPr>
              <w:t xml:space="preserve">“The portfolio was reporting 86% utilisation — which looked completely healthy. But that average hid a senior developer booked at 140% for three weeks across two fixed-price go-lives. It also hid six data defects — a ghost resource, duplicates, and sixty hours of phantom ‘tentative’ bookings. I rebalanced the workload to protect both deadlines and the person, cleared the defects to surface the hidden capacity, and stood the whole thing up in a centralized capacity model with a weekly Power BI utilisation view so it can never hide in an average again. The lesson I took: a healthy average is exactly where a delivery risk goes to hide.”</w:t>
            </w:r>
          </w:p>
        </w:tc>
      </w:tr>
    </w:tbl>
    <w:p>
      <w:pPr>
        <w:spacing w:after="60" w:before="200"/>
      </w:pPr>
      <w:r>
        <w:rPr>
          <w:b/>
          <w:bCs/>
          <w:color w:val="0F2A47"/>
          <w:sz w:val="24"/>
          <w:szCs w:val="24"/>
        </w:rPr>
        <w:t xml:space="preserve">Why leadership cares</w:t>
      </w:r>
    </w:p>
    <w:p>
      <w:pPr>
        <w:spacing w:after="60"/>
      </w:pPr>
      <w:r>
        <w:rPr>
          <w:sz w:val="21"/>
          <w:szCs w:val="21"/>
        </w:rPr>
        <w:t xml:space="preserve">• Protected revenue: fixed-price go-lives don’t slip → no penalty, no rework.</w:t>
      </w:r>
    </w:p>
    <w:p>
      <w:pPr>
        <w:spacing w:after="60"/>
      </w:pPr>
      <w:r>
        <w:rPr>
          <w:sz w:val="21"/>
          <w:szCs w:val="21"/>
        </w:rPr>
        <w:t xml:space="preserve">• Protected people: no burnout → no attrition of scarce senior talent (each replacement costs months and market rates).</w:t>
      </w:r>
    </w:p>
    <w:p>
      <w:pPr>
        <w:spacing w:after="60"/>
      </w:pPr>
      <w:r>
        <w:rPr>
          <w:sz w:val="21"/>
          <w:szCs w:val="21"/>
        </w:rPr>
        <w:t xml:space="preserve">• Recovered capacity: every 10% of utilisation recovered is worth roughly $150K/yr per specialist at market bill rates.</w:t>
      </w:r>
    </w:p>
    <w:p>
      <w:pPr>
        <w:spacing w:after="60"/>
      </w:pPr>
      <w:r>
        <w:rPr>
          <w:sz w:val="21"/>
          <w:szCs w:val="21"/>
        </w:rPr>
        <w:t xml:space="preserve">• Built the system, not just the fix: a centralized capacity model + Power BI + Power Automate so it stays solved.</w:t>
      </w:r>
    </w:p>
    <w:p>
      <w:pPr>
        <w:spacing w:before="220"/>
      </w:pPr>
      <w:r>
        <w:rPr>
          <w:i/>
          <w:iCs/>
          <w:color w:val="55657A"/>
          <w:sz w:val="16"/>
          <w:szCs w:val="16"/>
        </w:rPr>
        <w:t xml:space="preserve">Practice artifact · fictional firm · impact targets grounded in published professional-services utilisation benchmarks · built solo, AI-assisted with human verification.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2026-07-16T23:45:11.821Z</dcterms:created>
  <dcterms:modified xsi:type="dcterms:W3CDTF">2026-07-16T23:45:11.823Z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