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color w:val="55657A"/>
          <w:sz w:val="26"/>
          <w:szCs w:val="26"/>
        </w:rPr>
        <w:t xml:space="preserve">MERIDIAN DIGITAL CONSULTING</w:t>
      </w:r>
    </w:p>
    <w:p>
      <w:pPr>
        <w:spacing w:after="40"/>
        <w:jc w:val="center"/>
      </w:pPr>
      <w:r>
        <w:rPr>
          <w:b/>
          <w:bCs/>
          <w:color w:val="0F2A47"/>
          <w:sz w:val="44"/>
          <w:szCs w:val="44"/>
        </w:rPr>
        <w:t xml:space="preserve">PROJECT CHARTER</w:t>
      </w:r>
    </w:p>
    <w:p>
      <w:pPr>
        <w:spacing w:after="280"/>
        <w:jc w:val="center"/>
      </w:pPr>
      <w:r>
        <w:rPr>
          <w:color w:val="55657A"/>
          <w:sz w:val="28"/>
          <w:szCs w:val="28"/>
        </w:rPr>
        <w:t xml:space="preserve">Portfolio Governance &amp; Resource Capacity Uplift</w:t>
      </w:r>
    </w:p>
    <w:p>
      <w:pPr>
        <w:pStyle w:val="Heading1"/>
        <w:spacing w:after="120" w:before="300"/>
      </w:pPr>
      <w:r>
        <w:rPr>
          <w:color w:val="0F2A47"/>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2DC" w:sz="2"/>
              <w:left w:val="single" w:color="C9D2DC" w:sz="2"/>
              <w:bottom w:val="single" w:color="C9D2DC" w:sz="2"/>
              <w:right w:val="single" w:color="C9D2DC" w:sz="2"/>
            </w:tcBorders>
            <w:shd w:fill="EEF3F7" w:color="auto" w:val="clear"/>
            <w:tcMar>
              <w:top w:type="dxa" w:w="70"/>
              <w:left w:type="dxa" w:w="110"/>
              <w:bottom w:type="dxa" w:w="70"/>
              <w:right w:type="dxa" w:w="110"/>
            </w:tcMar>
          </w:tcPr>
          <w:p>
            <w:r>
              <w:rPr>
                <w:b/>
                <w:bCs/>
                <w:sz w:val="19"/>
                <w:szCs w:val="19"/>
              </w:rPr>
              <w:t xml:space="preserve">Document title</w:t>
            </w:r>
          </w:p>
        </w:tc>
        <w:tc>
          <w:tcPr>
            <w:tcW w:type="dxa" w:w="6760"/>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Project Charter — Portfolio Governance &amp; Resource Capacity Uplift</w:t>
            </w:r>
          </w:p>
        </w:tc>
      </w:tr>
      <w:tr>
        <w:tc>
          <w:tcPr>
            <w:tcW w:type="dxa" w:w="2600"/>
            <w:tcBorders>
              <w:top w:val="single" w:color="C9D2DC" w:sz="2"/>
              <w:left w:val="single" w:color="C9D2DC" w:sz="2"/>
              <w:bottom w:val="single" w:color="C9D2DC" w:sz="2"/>
              <w:right w:val="single" w:color="C9D2DC" w:sz="2"/>
            </w:tcBorders>
            <w:shd w:fill="EEF3F7" w:color="auto" w:val="clear"/>
            <w:tcMar>
              <w:top w:type="dxa" w:w="70"/>
              <w:left w:type="dxa" w:w="110"/>
              <w:bottom w:type="dxa" w:w="70"/>
              <w:right w:type="dxa" w:w="110"/>
            </w:tcMar>
          </w:tcPr>
          <w:p>
            <w:r>
              <w:rPr>
                <w:b/>
                <w:bCs/>
                <w:sz w:val="19"/>
                <w:szCs w:val="19"/>
              </w:rPr>
              <w:t xml:space="preserve">Project ID</w:t>
            </w:r>
          </w:p>
        </w:tc>
        <w:tc>
          <w:tcPr>
            <w:tcW w:type="dxa" w:w="6760"/>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PRJ-2026-0212</w:t>
            </w:r>
          </w:p>
        </w:tc>
      </w:tr>
      <w:tr>
        <w:tc>
          <w:tcPr>
            <w:tcW w:type="dxa" w:w="2600"/>
            <w:tcBorders>
              <w:top w:val="single" w:color="C9D2DC" w:sz="2"/>
              <w:left w:val="single" w:color="C9D2DC" w:sz="2"/>
              <w:bottom w:val="single" w:color="C9D2DC" w:sz="2"/>
              <w:right w:val="single" w:color="C9D2DC" w:sz="2"/>
            </w:tcBorders>
            <w:shd w:fill="EEF3F7" w:color="auto" w:val="clear"/>
            <w:tcMar>
              <w:top w:type="dxa" w:w="70"/>
              <w:left w:type="dxa" w:w="110"/>
              <w:bottom w:type="dxa" w:w="70"/>
              <w:right w:type="dxa" w:w="110"/>
            </w:tcMar>
          </w:tcPr>
          <w:p>
            <w:r>
              <w:rPr>
                <w:b/>
                <w:bCs/>
                <w:sz w:val="19"/>
                <w:szCs w:val="19"/>
              </w:rPr>
              <w:t xml:space="preserve">Programme</w:t>
            </w:r>
          </w:p>
        </w:tc>
        <w:tc>
          <w:tcPr>
            <w:tcW w:type="dxa" w:w="6760"/>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Delivery Operations &amp; PMO Excellence (PRG-2026-009)</w:t>
            </w:r>
          </w:p>
        </w:tc>
      </w:tr>
      <w:tr>
        <w:tc>
          <w:tcPr>
            <w:tcW w:type="dxa" w:w="2600"/>
            <w:tcBorders>
              <w:top w:val="single" w:color="C9D2DC" w:sz="2"/>
              <w:left w:val="single" w:color="C9D2DC" w:sz="2"/>
              <w:bottom w:val="single" w:color="C9D2DC" w:sz="2"/>
              <w:right w:val="single" w:color="C9D2DC" w:sz="2"/>
            </w:tcBorders>
            <w:shd w:fill="EEF3F7" w:color="auto" w:val="clear"/>
            <w:tcMar>
              <w:top w:type="dxa" w:w="70"/>
              <w:left w:type="dxa" w:w="110"/>
              <w:bottom w:type="dxa" w:w="70"/>
              <w:right w:type="dxa" w:w="110"/>
            </w:tcMar>
          </w:tcPr>
          <w:p>
            <w:r>
              <w:rPr>
                <w:b/>
                <w:bCs/>
                <w:sz w:val="19"/>
                <w:szCs w:val="19"/>
              </w:rPr>
              <w:t xml:space="preserve">Portfolio</w:t>
            </w:r>
          </w:p>
        </w:tc>
        <w:tc>
          <w:tcPr>
            <w:tcW w:type="dxa" w:w="6760"/>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Enterprise Delivery Services</w:t>
            </w:r>
          </w:p>
        </w:tc>
      </w:tr>
      <w:tr>
        <w:tc>
          <w:tcPr>
            <w:tcW w:type="dxa" w:w="2600"/>
            <w:tcBorders>
              <w:top w:val="single" w:color="C9D2DC" w:sz="2"/>
              <w:left w:val="single" w:color="C9D2DC" w:sz="2"/>
              <w:bottom w:val="single" w:color="C9D2DC" w:sz="2"/>
              <w:right w:val="single" w:color="C9D2DC" w:sz="2"/>
            </w:tcBorders>
            <w:shd w:fill="EEF3F7" w:color="auto" w:val="clear"/>
            <w:tcMar>
              <w:top w:type="dxa" w:w="70"/>
              <w:left w:type="dxa" w:w="110"/>
              <w:bottom w:type="dxa" w:w="70"/>
              <w:right w:type="dxa" w:w="110"/>
            </w:tcMar>
          </w:tcPr>
          <w:p>
            <w:r>
              <w:rPr>
                <w:b/>
                <w:bCs/>
                <w:sz w:val="19"/>
                <w:szCs w:val="19"/>
              </w:rPr>
              <w:t xml:space="preserve">Cost centre</w:t>
            </w:r>
          </w:p>
        </w:tc>
        <w:tc>
          <w:tcPr>
            <w:tcW w:type="dxa" w:w="6760"/>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CC-5120 — Delivery Operations</w:t>
            </w:r>
          </w:p>
        </w:tc>
      </w:tr>
      <w:tr>
        <w:tc>
          <w:tcPr>
            <w:tcW w:type="dxa" w:w="2600"/>
            <w:tcBorders>
              <w:top w:val="single" w:color="C9D2DC" w:sz="2"/>
              <w:left w:val="single" w:color="C9D2DC" w:sz="2"/>
              <w:bottom w:val="single" w:color="C9D2DC" w:sz="2"/>
              <w:right w:val="single" w:color="C9D2DC" w:sz="2"/>
            </w:tcBorders>
            <w:shd w:fill="EEF3F7" w:color="auto" w:val="clear"/>
            <w:tcMar>
              <w:top w:type="dxa" w:w="70"/>
              <w:left w:type="dxa" w:w="110"/>
              <w:bottom w:type="dxa" w:w="70"/>
              <w:right w:type="dxa" w:w="110"/>
            </w:tcMar>
          </w:tcPr>
          <w:p>
            <w:r>
              <w:rPr>
                <w:b/>
                <w:bCs/>
                <w:sz w:val="19"/>
                <w:szCs w:val="19"/>
              </w:rPr>
              <w:t xml:space="preserve">Platform</w:t>
            </w:r>
          </w:p>
        </w:tc>
        <w:tc>
          <w:tcPr>
            <w:tcW w:type="dxa" w:w="6760"/>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Cross-project capacity &amp; governance model (Excel + Power BI)</w:t>
            </w:r>
          </w:p>
        </w:tc>
      </w:tr>
      <w:tr>
        <w:tc>
          <w:tcPr>
            <w:tcW w:type="dxa" w:w="2600"/>
            <w:tcBorders>
              <w:top w:val="single" w:color="C9D2DC" w:sz="2"/>
              <w:left w:val="single" w:color="C9D2DC" w:sz="2"/>
              <w:bottom w:val="single" w:color="C9D2DC" w:sz="2"/>
              <w:right w:val="single" w:color="C9D2DC" w:sz="2"/>
            </w:tcBorders>
            <w:shd w:fill="EEF3F7" w:color="auto" w:val="clear"/>
            <w:tcMar>
              <w:top w:type="dxa" w:w="70"/>
              <w:left w:type="dxa" w:w="110"/>
              <w:bottom w:type="dxa" w:w="70"/>
              <w:right w:type="dxa" w:w="110"/>
            </w:tcMar>
          </w:tcPr>
          <w:p>
            <w:r>
              <w:rPr>
                <w:b/>
                <w:bCs/>
                <w:sz w:val="19"/>
                <w:szCs w:val="19"/>
              </w:rPr>
              <w:t xml:space="preserve">Version</w:t>
            </w:r>
          </w:p>
        </w:tc>
        <w:tc>
          <w:tcPr>
            <w:tcW w:type="dxa" w:w="6760"/>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1.1 (Approved)</w:t>
            </w:r>
          </w:p>
        </w:tc>
      </w:tr>
      <w:tr>
        <w:tc>
          <w:tcPr>
            <w:tcW w:type="dxa" w:w="2600"/>
            <w:tcBorders>
              <w:top w:val="single" w:color="C9D2DC" w:sz="2"/>
              <w:left w:val="single" w:color="C9D2DC" w:sz="2"/>
              <w:bottom w:val="single" w:color="C9D2DC" w:sz="2"/>
              <w:right w:val="single" w:color="C9D2DC" w:sz="2"/>
            </w:tcBorders>
            <w:shd w:fill="EEF3F7" w:color="auto" w:val="clear"/>
            <w:tcMar>
              <w:top w:type="dxa" w:w="70"/>
              <w:left w:type="dxa" w:w="110"/>
              <w:bottom w:type="dxa" w:w="70"/>
              <w:right w:type="dxa" w:w="110"/>
            </w:tcMar>
          </w:tcPr>
          <w:p>
            <w:r>
              <w:rPr>
                <w:b/>
                <w:bCs/>
                <w:sz w:val="19"/>
                <w:szCs w:val="19"/>
              </w:rPr>
              <w:t xml:space="preserve">Author</w:t>
            </w:r>
          </w:p>
        </w:tc>
        <w:tc>
          <w:tcPr>
            <w:tcW w:type="dxa" w:w="6760"/>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Keshaav Gite — Project Control Officer / Resource Analyst</w:t>
            </w:r>
          </w:p>
        </w:tc>
      </w:tr>
      <w:tr>
        <w:tc>
          <w:tcPr>
            <w:tcW w:type="dxa" w:w="2600"/>
            <w:tcBorders>
              <w:top w:val="single" w:color="C9D2DC" w:sz="2"/>
              <w:left w:val="single" w:color="C9D2DC" w:sz="2"/>
              <w:bottom w:val="single" w:color="C9D2DC" w:sz="2"/>
              <w:right w:val="single" w:color="C9D2DC" w:sz="2"/>
            </w:tcBorders>
            <w:shd w:fill="EEF3F7" w:color="auto" w:val="clear"/>
            <w:tcMar>
              <w:top w:type="dxa" w:w="70"/>
              <w:left w:type="dxa" w:w="110"/>
              <w:bottom w:type="dxa" w:w="70"/>
              <w:right w:type="dxa" w:w="110"/>
            </w:tcMar>
          </w:tcPr>
          <w:p>
            <w:r>
              <w:rPr>
                <w:b/>
                <w:bCs/>
                <w:sz w:val="19"/>
                <w:szCs w:val="19"/>
              </w:rPr>
              <w:t xml:space="preserve">Date issued</w:t>
            </w:r>
          </w:p>
        </w:tc>
        <w:tc>
          <w:tcPr>
            <w:tcW w:type="dxa" w:w="6760"/>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2 February 2026</w:t>
            </w:r>
          </w:p>
        </w:tc>
      </w:tr>
      <w:tr>
        <w:tc>
          <w:tcPr>
            <w:tcW w:type="dxa" w:w="2600"/>
            <w:tcBorders>
              <w:top w:val="single" w:color="C9D2DC" w:sz="2"/>
              <w:left w:val="single" w:color="C9D2DC" w:sz="2"/>
              <w:bottom w:val="single" w:color="C9D2DC" w:sz="2"/>
              <w:right w:val="single" w:color="C9D2DC" w:sz="2"/>
            </w:tcBorders>
            <w:shd w:fill="EEF3F7" w:color="auto" w:val="clear"/>
            <w:tcMar>
              <w:top w:type="dxa" w:w="70"/>
              <w:left w:type="dxa" w:w="110"/>
              <w:bottom w:type="dxa" w:w="70"/>
              <w:right w:type="dxa" w:w="110"/>
            </w:tcMar>
          </w:tcPr>
          <w:p>
            <w:r>
              <w:rPr>
                <w:b/>
                <w:bCs/>
                <w:sz w:val="19"/>
                <w:szCs w:val="19"/>
              </w:rPr>
              <w:t xml:space="preserve">Classification</w:t>
            </w:r>
          </w:p>
        </w:tc>
        <w:tc>
          <w:tcPr>
            <w:tcW w:type="dxa" w:w="6760"/>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Internal — Confidential</w:t>
            </w:r>
          </w:p>
        </w:tc>
      </w:tr>
    </w:tbl>
    <w:p>
      <w:pPr>
        <w:spacing w:after="120"/>
      </w:pPr>
    </w:p>
    <w:p>
      <w:pPr>
        <w:spacing w:after="100"/>
      </w:pPr>
      <w:r>
        <w:rPr>
          <w:b/>
          <w:bCs/>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700"/>
        <w:gridCol w:w="5460"/>
      </w:tblGrid>
      <w:tr>
        <w:trPr>
          <w:tblHeader/>
        </w:trPr>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Ver</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Date</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Author</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Change summary</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0.1</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26 Jan 2026</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K. Gite</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Initial draft from PMO capacity review</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1.0</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02 Feb 2026</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K. Gite</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Approved by Delivery Director; baseline set</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1.1</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09 Mar 2026</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K. Gite</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Benefits targets updated after Sprint-1 capacity findings</w:t>
            </w:r>
          </w:p>
        </w:tc>
      </w:tr>
    </w:tbl>
    <w:p>
      <w:r>
        <w:br w:type="page"/>
      </w:r>
    </w:p>
    <w:p>
      <w:pPr>
        <w:pStyle w:val="Heading1"/>
        <w:spacing w:after="120" w:before="300"/>
      </w:pPr>
      <w:r>
        <w:rPr>
          <w:color w:val="0F2A47"/>
        </w:rPr>
        <w:t xml:space="preserve">1. Purpose &amp; Business Justification</w:t>
      </w:r>
    </w:p>
    <w:p>
      <w:pPr>
        <w:spacing w:after="100"/>
      </w:pPr>
      <w:r>
        <w:t xml:space="preserve">Meridian Digital Consulting runs a portfolio of six concurrent client delivery projects staffed from a shared bench of 15 specialists. Resourcing is currently managed in disconnected spreadsheets. The PMO has no single, reliable view of who is booked on what, at what capacity, and whether the bench is over- or under-utilised.</w:t>
      </w:r>
    </w:p>
    <w:p>
      <w:pPr>
        <w:spacing w:after="100"/>
      </w:pPr>
      <w:r>
        <w:t xml:space="preserve">The consequences are already visible: specialists are being double-booked across projects, part-time staff are booked beyond contract, and the true billable utilisation of the bench is unknown. Industry research places healthy billable utilisation at 75–85%; sustained booking above 100% drives burnout, attrition and quality defects, while capacity below 60% is lost revenue.</w:t>
      </w:r>
    </w:p>
    <w:p>
      <w:pPr>
        <w:spacing w:after="100"/>
      </w:pPr>
      <w:r>
        <w:rPr>
          <w:b/>
          <w:bCs/>
        </w:rPr>
        <w:t xml:space="preserve">This project stands up a centralized resource capacity and portfolio governance model — </w:t>
      </w:r>
      <w:r>
        <w:t xml:space="preserve">giving the PMO a single source of truth for projects, resources, allocation and utilisation, and giving the business the ability to see and act on over- and under-allocation before it becomes a delivery or people crisis.</w:t>
      </w:r>
    </w:p>
    <w:p>
      <w:pPr>
        <w:spacing w:after="120"/>
      </w:pPr>
    </w:p>
    <w:p>
      <w:pPr>
        <w:pStyle w:val="Heading1"/>
        <w:spacing w:after="120" w:before="300"/>
      </w:pPr>
      <w:r>
        <w:rPr>
          <w:color w:val="0F2A47"/>
        </w:rPr>
        <w:t xml:space="preserve">2. Objectives &amp; Success Criteria (Quantified)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Objective</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Measure of success</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1</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Single source of truth for resourcing</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All 6 projects and 15 resources managed in a single connected capacity &amp; governance model; spreadsheets retired</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2</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Eliminate over-allocation</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Zero resources booked &gt;100% of capacity on a sustained basis; peak bookings visible weekly</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3</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Optimise billable utilisation</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Portfolio billable utilisation held in the 80–85% healthy band; no resource sustained &gt;90%</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4</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Recover hidden capacity</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Tentative, duplicate and ghost allocations cleared; true available capacity surfaced</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5</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Weekly utilisation reporting</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Power BI utilisation dashboard live; a Power Automate flow chases unconfirmed bookings</w:t>
            </w:r>
          </w:p>
        </w:tc>
      </w:tr>
    </w:tbl>
    <w:p>
      <w:pPr>
        <w:spacing w:after="120"/>
      </w:pPr>
    </w:p>
    <w:p>
      <w:pPr>
        <w:pStyle w:val="Heading1"/>
        <w:spacing w:after="120" w:before="300"/>
      </w:pPr>
      <w:r>
        <w:rPr>
          <w:color w:val="0F2A47"/>
        </w:rPr>
        <w:t xml:space="preserve">3. Benefits &amp; Target Impact</w:t>
      </w:r>
    </w:p>
    <w:p>
      <w:pPr>
        <w:spacing w:after="100"/>
      </w:pPr>
      <w:r>
        <w:rPr>
          <w:b/>
          <w:bCs/>
        </w:rPr>
        <w:t xml:space="preserve">The business case rests on impact the PMO can measure, not activity. </w:t>
      </w:r>
      <w:r>
        <w:t xml:space="preserve">Targets are grounded in published professional-services benchmarks.</w:t>
      </w:r>
    </w:p>
    <w:tbl>
      <w:tblPr>
        <w:tblW w:type="dxa" w:w="9360"/>
        <w:tblBorders>
          <w:top w:val="single" w:color="1C7A50" w:sz="4"/>
          <w:left w:val="single" w:color="1C7A50" w:sz="4"/>
          <w:bottom w:val="single" w:color="1C7A50" w:sz="4"/>
          <w:right w:val="single" w:color="1C7A50" w:sz="4"/>
          <w:insideH w:val="single" w:color="C9D2DC" w:sz="2"/>
          <w:insideV w:val="single" w:color="C9D2DC" w:sz="2"/>
        </w:tblBorders>
      </w:tblPr>
      <w:tblGrid>
        <w:gridCol w:w="4680"/>
        <w:gridCol w:w="4680"/>
      </w:tblGrid>
      <w:tr>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Benefit</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Target / basis</w:t>
            </w:r>
          </w:p>
        </w:tc>
      </w:tr>
      <w:tr>
        <w:tc>
          <w:tcPr>
            <w:tcBorders>
              <w:top w:val="single" w:color="C9D2DC" w:sz="2"/>
              <w:left w:val="single" w:color="C9D2DC" w:sz="2"/>
              <w:bottom w:val="single" w:color="C9D2DC" w:sz="2"/>
              <w:right w:val="single" w:color="C9D2DC" w:sz="2"/>
            </w:tcBorders>
            <w:shd w:fill="EDF4EF" w:color="auto" w:val="clear"/>
            <w:tcMar>
              <w:top w:type="dxa" w:w="70"/>
              <w:left w:type="dxa" w:w="110"/>
              <w:bottom w:type="dxa" w:w="70"/>
              <w:right w:type="dxa" w:w="110"/>
            </w:tcMar>
          </w:tcPr>
          <w:p>
            <w:r>
              <w:rPr>
                <w:b w:val="false"/>
                <w:bCs w:val="false"/>
                <w:sz w:val="19"/>
                <w:szCs w:val="19"/>
              </w:rPr>
              <w:t xml:space="preserve">Protect delivery dates</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Remove over-allocation on 2 fixed-price projects whose deadlines were at risk from a developer booked at 140% for 3 weeks</w:t>
            </w:r>
          </w:p>
        </w:tc>
      </w:tr>
      <w:tr>
        <w:tc>
          <w:tcPr>
            <w:tcBorders>
              <w:top w:val="single" w:color="C9D2DC" w:sz="2"/>
              <w:left w:val="single" w:color="C9D2DC" w:sz="2"/>
              <w:bottom w:val="single" w:color="C9D2DC" w:sz="2"/>
              <w:right w:val="single" w:color="C9D2DC" w:sz="2"/>
            </w:tcBorders>
            <w:shd w:fill="EDF4EF" w:color="auto" w:val="clear"/>
            <w:tcMar>
              <w:top w:type="dxa" w:w="70"/>
              <w:left w:type="dxa" w:w="110"/>
              <w:bottom w:type="dxa" w:w="70"/>
              <w:right w:type="dxa" w:w="110"/>
            </w:tcMar>
          </w:tcPr>
          <w:p>
            <w:r>
              <w:rPr>
                <w:b w:val="false"/>
                <w:bCs w:val="false"/>
                <w:sz w:val="19"/>
                <w:szCs w:val="19"/>
              </w:rPr>
              <w:t xml:space="preserve">Recover billable value</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Rebalance and surface hidden capacity; every 10% utilisation gain is worth ~$150K/yr per specialist at market bill rates</w:t>
            </w:r>
          </w:p>
        </w:tc>
      </w:tr>
      <w:tr>
        <w:tc>
          <w:tcPr>
            <w:tcBorders>
              <w:top w:val="single" w:color="C9D2DC" w:sz="2"/>
              <w:left w:val="single" w:color="C9D2DC" w:sz="2"/>
              <w:bottom w:val="single" w:color="C9D2DC" w:sz="2"/>
              <w:right w:val="single" w:color="C9D2DC" w:sz="2"/>
            </w:tcBorders>
            <w:shd w:fill="EDF4EF" w:color="auto" w:val="clear"/>
            <w:tcMar>
              <w:top w:type="dxa" w:w="70"/>
              <w:left w:type="dxa" w:w="110"/>
              <w:bottom w:type="dxa" w:w="70"/>
              <w:right w:type="dxa" w:w="110"/>
            </w:tcMar>
          </w:tcPr>
          <w:p>
            <w:r>
              <w:rPr>
                <w:b w:val="false"/>
                <w:bCs w:val="false"/>
                <w:sz w:val="19"/>
                <w:szCs w:val="19"/>
              </w:rPr>
              <w:t xml:space="preserve">Reduce attrition risk</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Bring all sustained bookings back under 90% — the burnout threshold in PS benchmarks</w:t>
            </w:r>
          </w:p>
        </w:tc>
      </w:tr>
      <w:tr>
        <w:tc>
          <w:tcPr>
            <w:tcBorders>
              <w:top w:val="single" w:color="C9D2DC" w:sz="2"/>
              <w:left w:val="single" w:color="C9D2DC" w:sz="2"/>
              <w:bottom w:val="single" w:color="C9D2DC" w:sz="2"/>
              <w:right w:val="single" w:color="C9D2DC" w:sz="2"/>
            </w:tcBorders>
            <w:shd w:fill="EDF4EF" w:color="auto" w:val="clear"/>
            <w:tcMar>
              <w:top w:type="dxa" w:w="70"/>
              <w:left w:type="dxa" w:w="110"/>
              <w:bottom w:type="dxa" w:w="70"/>
              <w:right w:type="dxa" w:w="110"/>
            </w:tcMar>
          </w:tcPr>
          <w:p>
            <w:r>
              <w:rPr>
                <w:b w:val="false"/>
                <w:bCs w:val="false"/>
                <w:sz w:val="19"/>
                <w:szCs w:val="19"/>
              </w:rPr>
              <w:t xml:space="preserve">Data integrity</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Clear 7 planted data defects (over-allocation, ghost resource, duplicates, tentatives, blank/mismatched entries) distorting the capacity picture</w:t>
            </w:r>
          </w:p>
        </w:tc>
      </w:tr>
    </w:tbl>
    <w:p>
      <w:pPr>
        <w:spacing w:after="120"/>
      </w:pPr>
    </w:p>
    <w:p>
      <w:pPr>
        <w:pStyle w:val="Heading1"/>
        <w:spacing w:after="120" w:before="300"/>
      </w:pPr>
      <w:r>
        <w:rPr>
          <w:color w:val="0F2A47"/>
        </w:rPr>
        <w:t xml:space="preserve">4. Scope</w:t>
      </w:r>
    </w:p>
    <w:p>
      <w:pPr>
        <w:spacing w:after="100"/>
      </w:pPr>
      <w:r>
        <w:rPr>
          <w:b/>
          <w:bCs/>
        </w:rPr>
        <w:t xml:space="preserve">In scope</w:t>
      </w:r>
    </w:p>
    <w:p>
      <w:pPr>
        <w:pStyle w:val="ListParagraph"/>
        <w:numPr>
          <w:ilvl w:val="0"/>
          <w:numId w:val="2"/>
        </w:numPr>
        <w:spacing w:after="60"/>
      </w:pPr>
      <w:r>
        <w:t xml:space="preserve">Stand-up of the 6-project portfolio and 15-resource bench in a centralized capacity &amp; governance model.</w:t>
      </w:r>
    </w:p>
    <w:p>
      <w:pPr>
        <w:pStyle w:val="ListParagraph"/>
        <w:numPr>
          <w:ilvl w:val="0"/>
          <w:numId w:val="2"/>
        </w:numPr>
        <w:spacing w:after="60"/>
      </w:pPr>
      <w:r>
        <w:t xml:space="preserve">Resource capacity setup (roles, skills, contracted hours), allocation and weekly utilisation tracking.</w:t>
      </w:r>
    </w:p>
    <w:p>
      <w:pPr>
        <w:pStyle w:val="ListParagraph"/>
        <w:numPr>
          <w:ilvl w:val="0"/>
          <w:numId w:val="2"/>
        </w:numPr>
        <w:spacing w:after="60"/>
      </w:pPr>
      <w:r>
        <w:t xml:space="preserve">Time &amp; expense capture and approval; project billing setup for fixed-price and T&amp;M engagements.</w:t>
      </w:r>
    </w:p>
    <w:p>
      <w:pPr>
        <w:pStyle w:val="ListParagraph"/>
        <w:numPr>
          <w:ilvl w:val="0"/>
          <w:numId w:val="2"/>
        </w:numPr>
        <w:spacing w:after="60"/>
      </w:pPr>
      <w:r>
        <w:t xml:space="preserve">A Power BI utilisation dashboard and a Power Automate flow to chase unconfirmed bookings.</w:t>
      </w:r>
    </w:p>
    <w:p>
      <w:pPr>
        <w:spacing w:after="100"/>
      </w:pPr>
      <w:r>
        <w:rPr>
          <w:b/>
          <w:bCs/>
        </w:rPr>
        <w:t xml:space="preserve">Out of scope</w:t>
      </w:r>
    </w:p>
    <w:p>
      <w:pPr>
        <w:pStyle w:val="ListParagraph"/>
        <w:numPr>
          <w:ilvl w:val="0"/>
          <w:numId w:val="2"/>
        </w:numPr>
        <w:spacing w:after="60"/>
      </w:pPr>
      <w:r>
        <w:rPr>
          <w:b/>
          <w:bCs/>
        </w:rPr>
        <w:t xml:space="preserve">Recruitment / hiring decisions</w:t>
      </w:r>
      <w:r>
        <w:t xml:space="preserve"> arising from capacity gaps — owned by Talent Acquisition.</w:t>
      </w:r>
    </w:p>
    <w:p>
      <w:pPr>
        <w:pStyle w:val="ListParagraph"/>
        <w:numPr>
          <w:ilvl w:val="0"/>
          <w:numId w:val="2"/>
        </w:numPr>
        <w:spacing w:after="60"/>
      </w:pPr>
      <w:r>
        <w:rPr>
          <w:b/>
          <w:bCs/>
        </w:rPr>
        <w:t xml:space="preserve">Client contract renegotiation</w:t>
      </w:r>
      <w:r>
        <w:t xml:space="preserve"> — owned by Commercial.</w:t>
      </w:r>
    </w:p>
    <w:p>
      <w:pPr>
        <w:pStyle w:val="ListParagraph"/>
        <w:numPr>
          <w:ilvl w:val="0"/>
          <w:numId w:val="2"/>
        </w:numPr>
        <w:spacing w:after="60"/>
      </w:pPr>
      <w:r>
        <w:rPr>
          <w:b/>
          <w:bCs/>
        </w:rPr>
        <w:t xml:space="preserve">Payroll and HR systems integration</w:t>
      </w:r>
      <w:r>
        <w:t xml:space="preserve"> — a separate initiative (PRG-2026-014).</w:t>
      </w:r>
    </w:p>
    <w:p>
      <w:r>
        <w:br w:type="page"/>
      </w:r>
    </w:p>
    <w:p>
      <w:pPr>
        <w:pStyle w:val="Heading1"/>
        <w:spacing w:after="120" w:before="300"/>
      </w:pPr>
      <w:r>
        <w:rPr>
          <w:color w:val="0F2A47"/>
        </w:rPr>
        <w:t xml:space="preserve">5. Governance &amp; Approval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Body / role</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Cadence</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Authority</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Delivery Director (Sponsor)</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Monthly</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Owns benefits; approves resourcing policy changes</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Resource Review Board</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Weekly</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Approves cross-project reallocations; clears over-allocation</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PCO / Resource Analyst (K. Gite)</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Weekly</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Maintains the capacity model, utilisation report and RAID</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Project Managers (x6)</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Weekly</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Submit demand; accept/return resource assignments</w:t>
            </w:r>
          </w:p>
        </w:tc>
      </w:tr>
    </w:tbl>
    <w:p>
      <w:pPr>
        <w:spacing w:after="120"/>
      </w:pPr>
    </w:p>
    <w:p>
      <w:pPr>
        <w:pStyle w:val="Heading1"/>
        <w:spacing w:after="120" w:before="300"/>
      </w:pPr>
      <w:r>
        <w:rPr>
          <w:color w:val="0F2A47"/>
        </w:rPr>
        <w:t xml:space="preserve">6. Key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Role</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Responsibility</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Delivery Director (Sponsor)</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Accountable for portfolio delivery and bench profitability</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Resourcing Manager</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Owns the bench; approves assignments before a resource joins a project</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Project Managers (x6)</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Own project demand and accept allocations</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Finance Business Partner</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Consulted on bill rates, utilisation and revenue impact</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HR / People</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Consulted on capacity, leave and burnout / wellbeing thresholds</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PCO / Resource Analyst (Keshaav Gite)</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Runs capacity planning, allocation tracking, utilisation reporting and RAID</w:t>
            </w:r>
          </w:p>
        </w:tc>
      </w:tr>
    </w:tbl>
    <w:p>
      <w:pPr>
        <w:spacing w:after="120"/>
      </w:pPr>
    </w:p>
    <w:p>
      <w:pPr>
        <w:pStyle w:val="Heading1"/>
        <w:spacing w:after="120" w:before="300"/>
      </w:pPr>
      <w:r>
        <w:rPr>
          <w:color w:val="0F2A47"/>
        </w:rPr>
        <w:t xml:space="preserve">7. Assumptions, Constraints &amp; Key Risks</w:t>
      </w:r>
    </w:p>
    <w:p>
      <w:pPr>
        <w:spacing w:after="100"/>
      </w:pPr>
      <w:r>
        <w:rPr>
          <w:b/>
          <w:bCs/>
        </w:rPr>
        <w:t xml:space="preserve">Assumptions</w:t>
      </w:r>
    </w:p>
    <w:p>
      <w:pPr>
        <w:pStyle w:val="ListParagraph"/>
        <w:numPr>
          <w:ilvl w:val="0"/>
          <w:numId w:val="2"/>
        </w:numPr>
        <w:spacing w:after="60"/>
      </w:pPr>
      <w:r>
        <w:t xml:space="preserve">Contracted capacity per resource is accurate in the resource master (incl. part-time staff).</w:t>
      </w:r>
    </w:p>
    <w:p>
      <w:pPr>
        <w:pStyle w:val="ListParagraph"/>
        <w:numPr>
          <w:ilvl w:val="0"/>
          <w:numId w:val="2"/>
        </w:numPr>
        <w:spacing w:after="60"/>
      </w:pPr>
      <w:r>
        <w:t xml:space="preserve">Project managers submit demand weekly so the capacity view stays current.</w:t>
      </w:r>
    </w:p>
    <w:p>
      <w:pPr>
        <w:spacing w:after="100"/>
      </w:pPr>
      <w:r>
        <w:rPr>
          <w:b/>
          <w:bCs/>
        </w:rPr>
        <w:t xml:space="preserve">Constraints</w:t>
      </w:r>
    </w:p>
    <w:p>
      <w:pPr>
        <w:pStyle w:val="ListParagraph"/>
        <w:numPr>
          <w:ilvl w:val="0"/>
          <w:numId w:val="2"/>
        </w:numPr>
        <w:spacing w:after="60"/>
      </w:pPr>
      <w:r>
        <w:t xml:space="preserve">No resource may be sustained above 90% utilisation without Delivery Director sign-off.</w:t>
      </w:r>
    </w:p>
    <w:p>
      <w:pPr>
        <w:pStyle w:val="ListParagraph"/>
        <w:numPr>
          <w:ilvl w:val="0"/>
          <w:numId w:val="2"/>
        </w:numPr>
        <w:spacing w:after="60"/>
      </w:pPr>
      <w:r>
        <w:t xml:space="preserve">Part-time contracts (e.g. 32h, 24h) are hard limits, not guidance.</w:t>
      </w:r>
    </w:p>
    <w:p>
      <w:pPr>
        <w:spacing w:after="100"/>
      </w:pPr>
      <w:r>
        <w:rPr>
          <w:b/>
          <w:bCs/>
        </w:rPr>
        <w:t xml:space="preserve">Key risks</w:t>
      </w:r>
    </w:p>
    <w:p>
      <w:pPr>
        <w:pStyle w:val="ListParagraph"/>
        <w:numPr>
          <w:ilvl w:val="0"/>
          <w:numId w:val="2"/>
        </w:numPr>
        <w:spacing w:after="60"/>
      </w:pPr>
      <w:r>
        <w:t xml:space="preserve">Over-allocation of scarce senior developers threatens the two fixed-price go-lives (R-201).</w:t>
      </w:r>
    </w:p>
    <w:p>
      <w:pPr>
        <w:pStyle w:val="ListParagraph"/>
        <w:numPr>
          <w:ilvl w:val="0"/>
          <w:numId w:val="2"/>
        </w:numPr>
        <w:spacing w:after="60"/>
      </w:pPr>
      <w:r>
        <w:t xml:space="preserve">Poor data quality (ghost / duplicate / tentative bookings) hides true capacity (R-202).</w:t>
      </w:r>
    </w:p>
    <w:p>
      <w:r>
        <w:br w:type="page"/>
      </w:r>
    </w:p>
    <w:p>
      <w:pPr>
        <w:pStyle w:val="Heading1"/>
        <w:spacing w:after="120" w:before="300"/>
      </w:pPr>
      <w:r>
        <w:rPr>
          <w:color w:val="0F2A47"/>
        </w:rPr>
        <w:t xml:space="preserve">8. Approval</w:t>
      </w:r>
    </w:p>
    <w:p>
      <w:pPr>
        <w:spacing w:after="100"/>
      </w:pPr>
      <w:r>
        <w:t xml:space="preserve">By signing below, the approvers agree the objectives, benefits, scope and governance set out in this charter, and authorise the project to proceed.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160"/>
        <w:gridCol w:w="1600"/>
      </w:tblGrid>
      <w:tr>
        <w:trPr>
          <w:tblHeader/>
        </w:trPr>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Role</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Name</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Signature</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Date</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Delivery Director (Sponsor)</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02 Feb 2026</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Resourcing Manager</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02 Feb 2026</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Finance Business Partner</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02 Feb 2026</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PCO / Resource Analyst — K. Gite</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02 Feb 2026</w:t>
            </w:r>
          </w:p>
        </w:tc>
      </w:tr>
    </w:tbl>
    <w:p>
      <w:pPr>
        <w:spacing w:before="300"/>
      </w:pPr>
      <w:r>
        <w:rPr>
          <w:i/>
          <w:iCs/>
          <w:color w:val="55657A"/>
          <w:sz w:val="17"/>
          <w:szCs w:val="17"/>
        </w:rPr>
        <w:t xml:space="preserve">Practice artifact. Meridian Digital Consulting is a fictional firm; this charter is built to the structure and standard of a real professional-services PMO charter to demonstrate resource-management and portfolio governance capability. Benefit targets are grounded in published professional-services utilisation benchmarks. Built solo; AI-assisted with human verification.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F2A47"/>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2026-07-16T23:41:14.437Z</dcterms:created>
  <dcterms:modified xsi:type="dcterms:W3CDTF">2026-07-16T23:41:14.451Z</dcterms:modified>
</cp:coreProperties>
</file>

<file path=docProps/custom.xml><?xml version="1.0" encoding="utf-8"?>
<Properties xmlns="http://schemas.openxmlformats.org/officeDocument/2006/custom-properties" xmlns:vt="http://schemas.openxmlformats.org/officeDocument/2006/docPropsVTypes"/>
</file>