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GSAP_MaterialMaster_DataPro</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TS-GSAP_MaterialMaster_DataPro</w:t>
      </w:r>
    </w:p>
    <w:p>
      <w:pPr>
        <w:pStyle w:val="ListBullet"/>
      </w:pPr>
      <w:r>
        <w:rPr>
          <w:rFonts w:ascii="Calibri" w:hAnsi="Calibri"/>
          <w:sz w:val="22"/>
        </w:rPr>
        <w:t>Integration Flow: GSAP_MaterialMaster_DataPro</w:t>
      </w:r>
    </w:p>
    <w:p>
      <w:pPr>
        <w:pStyle w:val="ListBullet"/>
      </w:pPr>
      <w:r>
        <w:rPr>
          <w:rFonts w:ascii="Calibri" w:hAnsi="Calibri"/>
          <w:sz w:val="22"/>
        </w:rPr>
        <w:t>Generated On: 2026-05-13 16:11</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GSAP_MaterialMaster_DataPro iFlow integrates SAP (gSAP) with DataPro to transfer Material Master data. It receives Material Master data from gSAP via IDocs and inserts it into the DataPro system using JDBC.</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GSAP_MaterialMaster_DataPro iFlow, detailing its functionality, configuration, and integration processes.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business requirement driving this integration is to automate the transfer of Material Master data from GSAP to DataPro, ensuring data consistency and reducing manual effort. The functional specification mentions the need for GSAP-DataPro integration for Product Data.</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Daily, based on the functional specification.</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Not specified in iFlow, but the functional specification mentions initial load volumes.</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 special performance considerations as data volume is not huge and no time bound data upload requirements into DB, according to the functional specification.</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8</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37</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No automated integration. Material Master data is not automatically transferred from GSAP to DataPro.</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Material Master data is automatically extracted from GSAP via IDocs and loaded into DataPro using JDBC. The iFlow processes the IDoc, transforms the data, and inserts it into the DataPro database.</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 ProcessDirect sender adapter to receive IDocs from gSAP. A message mapping transforms the IDoc data into the DataPro format. The JDBC receiver adapter then inserts the transformed data into the DataPro database. An exception subprocess handles errors and logs payload.</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'GSAP_MaterialMaster_DataPro' orchestrates message exchange from gSAP to DataPro.</w:t>
      </w:r>
    </w:p>
    <w:p>
      <w:pPr>
        <w:pStyle w:val="ListBullet"/>
      </w:pPr>
      <w:r>
        <w:rPr>
          <w:rFonts w:ascii="Calibri" w:hAnsi="Calibri"/>
          <w:sz w:val="22"/>
        </w:rPr>
        <w:t>Inbound interface dependency: path /GSAP/MATMAS_MATMAS05_ZX_MATMAS05; ProcessDirect adapter using Not Applicable over Not Applicable.</w:t>
      </w:r>
    </w:p>
    <w:p>
      <w:pPr>
        <w:pStyle w:val="ListBullet"/>
      </w:pPr>
      <w:r>
        <w:rPr>
          <w:rFonts w:ascii="Calibri" w:hAnsi="Calibri"/>
          <w:sz w:val="22"/>
        </w:rPr>
        <w:t>Outbound interface dependency: URL DataPro_PricingCondition; receiver authentication type Not configured with credential/security artifact DataPro_PricingCondition.</w:t>
      </w:r>
    </w:p>
    <w:p>
      <w:pPr>
        <w:pStyle w:val="ListBullet"/>
      </w:pPr>
      <w:r>
        <w:rPr>
          <w:rFonts w:ascii="Calibri" w:hAnsi="Calibri"/>
          <w:sz w:val="22"/>
        </w:rPr>
        <w:t>Security dependency: receiver authentication type Not configured with credential/security artifact DataPro_PricingCondition.</w:t>
      </w:r>
    </w:p>
    <w:p>
      <w:pPr>
        <w:pStyle w:val="ListBullet"/>
      </w:pPr>
      <w:r>
        <w:rPr>
          <w:rFonts w:ascii="Calibri" w:hAnsi="Calibri"/>
          <w:sz w:val="22"/>
        </w:rPr>
        <w:t>Design-time artifacts: WSDLs src\main\resources\wsdl\MATMAS.MATMAS05.ZX_MATMAS05.wsdl; src\main\resources\wsdl\MT_Insert_MaterialMaster.wsdl | mappings src\main\resources\mapping\mm_MATMAS_MATMAS05_to_MaterialMaster.mmap.</w:t>
      </w:r>
    </w:p>
    <w:p>
      <w:pPr>
        <w:pStyle w:val="ListBullet"/>
      </w:pPr>
      <w:r>
        <w:rPr>
          <w:rFonts w:ascii="Calibri" w:hAnsi="Calibri"/>
          <w:sz w:val="22"/>
        </w:rPr>
        <w:t>Custom script artifacts: Interface_Generic_Headers.groovy; Log_Payload.groovy.</w:t>
      </w:r>
    </w:p>
    <w:p>
      <w:pPr>
        <w:pStyle w:val="ListBullet"/>
      </w:pPr>
      <w:r>
        <w:rPr>
          <w:rFonts w:ascii="Calibri" w:hAnsi="Calibri"/>
          <w:sz w:val="22"/>
        </w:rPr>
        <w:t>Externalized runtime dependencies: 37 parameter(s) supplied, including BusinessObject.</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DataPro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triggers the iFlow by sending a Material Master IDoc.</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IDoc via the ProcessDirect adapter.</w:t>
            </w:r>
          </w:p>
        </w:tc>
      </w:tr>
      <w:tr>
        <w:trPr>
          <w:cantSplit/>
        </w:trPr>
        <w:tc>
          <w:tcPr>
            <w:tcW w:type="dxa" w:w="3118"/>
          </w:tcPr>
          <w:p>
            <w:r>
              <w:rPr>
                <w:rFonts w:ascii="Calibri" w:hAnsi="Calibri"/>
                <w:sz w:val="20"/>
              </w:rPr>
              <w:t>3</w:t>
            </w:r>
          </w:p>
        </w:tc>
        <w:tc>
          <w:tcPr>
            <w:tcW w:type="dxa" w:w="5783"/>
          </w:tcPr>
          <w:p>
            <w:r>
              <w:rPr>
                <w:rFonts w:ascii="Calibri" w:hAnsi="Calibri"/>
                <w:sz w:val="20"/>
              </w:rPr>
              <w:t>Step 3: The IDoc data is mapped to the DataPro Material Master structure using a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data is sent to DataPro via the JDBC adapter for insertion into the database.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DataPro</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Event-triggered by IDoc from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End Message</w:t>
            </w:r>
          </w:p>
        </w:tc>
        <w:tc>
          <w:tcPr>
            <w:tcW w:type="dxa" w:w="2835"/>
          </w:tcPr>
          <w:p>
            <w:r>
              <w:rPr>
                <w:rFonts w:ascii="Calibri" w:hAnsi="Calibri"/>
                <w:sz w:val="20"/>
              </w:rPr>
              <w:t>DataPro</w:t>
            </w:r>
          </w:p>
        </w:tc>
        <w:tc>
          <w:tcPr>
            <w:tcW w:type="dxa" w:w="3798"/>
          </w:tcPr>
          <w:p>
            <w:r>
              <w:rPr>
                <w:rFonts w:ascii="Calibri" w:hAnsi="Calibri"/>
                <w:sz w:val="20"/>
              </w:rPr>
              <w:t>Datapro_MaterialMaster_JDBC_Receiver</w:t>
            </w:r>
          </w:p>
        </w:tc>
      </w:tr>
      <w:tr>
        <w:trPr>
          <w:cantSplit/>
        </w:trPr>
        <w:tc>
          <w:tcPr>
            <w:tcW w:type="dxa" w:w="2268"/>
            <w:shd w:fill="F5F8FA"/>
          </w:tcPr>
          <w:p>
            <w:r>
              <w:rPr>
                <w:rFonts w:ascii="Calibri" w:hAnsi="Calibri"/>
                <w:sz w:val="20"/>
              </w:rPr>
              <w:t>gSAP</w:t>
            </w:r>
          </w:p>
        </w:tc>
        <w:tc>
          <w:tcPr>
            <w:tcW w:type="dxa" w:w="2835"/>
            <w:shd w:fill="F5F8FA"/>
          </w:tcPr>
          <w:p>
            <w:r>
              <w:rPr>
                <w:rFonts w:ascii="Calibri" w:hAnsi="Calibri"/>
                <w:sz w:val="20"/>
              </w:rPr>
              <w:t>Start</w:t>
            </w:r>
          </w:p>
        </w:tc>
        <w:tc>
          <w:tcPr>
            <w:tcW w:type="dxa" w:w="3798"/>
            <w:shd w:fill="F5F8FA"/>
          </w:tcPr>
          <w:p>
            <w:r>
              <w:rPr>
                <w:rFonts w:ascii="Calibri" w:hAnsi="Calibri"/>
                <w:sz w:val="20"/>
              </w:rPr>
              <w:t>ProcessDirect</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89609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896091"/>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8</w:t>
            </w:r>
          </w:p>
        </w:tc>
        <w:tc>
          <w:tcPr>
            <w:tcW w:type="dxa" w:w="3798"/>
          </w:tcPr>
          <w:p>
            <w:r>
              <w:rPr>
                <w:rFonts w:ascii="Calibri" w:hAnsi="Calibri"/>
                <w:sz w:val="20"/>
              </w:rPr>
              <w:t>7</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process defines the main integration flow for transferring Material Master data from gSAP to DataPro. It includes steps for receiving the IDoc, transforming the data, and sending it to DataPro.</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 (Set Headers)</w:t>
            </w:r>
          </w:p>
        </w:tc>
      </w:tr>
      <w:tr>
        <w:trPr>
          <w:cantSplit/>
        </w:trPr>
        <w:tc>
          <w:tcPr>
            <w:tcW w:type="dxa" w:w="9000"/>
            <w:shd w:fill="F5F8FA"/>
          </w:tcPr>
          <w:p>
            <w:r>
              <w:rPr>
                <w:rFonts w:ascii="Calibri" w:hAnsi="Calibri"/>
                <w:sz w:val="20"/>
              </w:rPr>
              <w:t>Mapping (mm_MATMAS_MATMAS05_to_MaterialMaster)</w:t>
            </w:r>
          </w:p>
        </w:tc>
      </w:tr>
      <w:tr>
        <w:trPr>
          <w:cantSplit/>
        </w:trPr>
        <w:tc>
          <w:tcPr>
            <w:tcW w:type="dxa" w:w="9000"/>
          </w:tcPr>
          <w:p>
            <w:r>
              <w:rPr>
                <w:rFonts w:ascii="Calibri" w:hAnsi="Calibri"/>
                <w:sz w:val="20"/>
              </w:rPr>
              <w:t>Splitter (Split Statements)</w:t>
            </w:r>
          </w:p>
        </w:tc>
      </w:tr>
      <w:tr>
        <w:trPr>
          <w:cantSplit/>
        </w:trPr>
        <w:tc>
          <w:tcPr>
            <w:tcW w:type="dxa" w:w="9000"/>
            <w:shd w:fill="F5F8FA"/>
          </w:tcPr>
          <w:p>
            <w:r>
              <w:rPr>
                <w:rFonts w:ascii="Calibri" w:hAnsi="Calibri"/>
                <w:sz w:val="20"/>
              </w:rPr>
              <w:t>Script (Log Headers)</w:t>
            </w:r>
          </w:p>
        </w:tc>
      </w:tr>
      <w:tr>
        <w:trPr>
          <w:cantSplit/>
        </w:trPr>
        <w:tc>
          <w:tcPr>
            <w:tcW w:type="dxa" w:w="9000"/>
          </w:tcPr>
          <w:p>
            <w:r>
              <w:rPr>
                <w:rFonts w:ascii="Calibri" w:hAnsi="Calibri"/>
                <w:sz w:val="20"/>
              </w:rPr>
              <w:t>JDBC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IDoc from gSAP</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Set Headers</w:t>
            </w:r>
          </w:p>
        </w:tc>
      </w:tr>
      <w:tr>
        <w:trPr>
          <w:cantSplit/>
        </w:trPr>
        <w:tc>
          <w:tcPr>
            <w:tcW w:type="dxa" w:w="3118"/>
          </w:tcPr>
          <w:p>
            <w:r>
              <w:rPr>
                <w:rFonts w:ascii="Calibri" w:hAnsi="Calibri"/>
                <w:sz w:val="20"/>
              </w:rPr>
              <w:t>3</w:t>
            </w:r>
          </w:p>
        </w:tc>
        <w:tc>
          <w:tcPr>
            <w:tcW w:type="dxa" w:w="5783"/>
          </w:tcPr>
          <w:p>
            <w:r>
              <w:rPr>
                <w:rFonts w:ascii="Calibri" w:hAnsi="Calibri"/>
                <w:sz w:val="20"/>
              </w:rPr>
              <w:t>Map IDoc to DataPro format</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Split Statements</w:t>
            </w:r>
          </w:p>
        </w:tc>
      </w:tr>
      <w:tr>
        <w:trPr>
          <w:cantSplit/>
        </w:trPr>
        <w:tc>
          <w:tcPr>
            <w:tcW w:type="dxa" w:w="3118"/>
          </w:tcPr>
          <w:p>
            <w:r>
              <w:rPr>
                <w:rFonts w:ascii="Calibri" w:hAnsi="Calibri"/>
                <w:sz w:val="20"/>
              </w:rPr>
              <w:t>5</w:t>
            </w:r>
          </w:p>
        </w:tc>
        <w:tc>
          <w:tcPr>
            <w:tcW w:type="dxa" w:w="5783"/>
          </w:tcPr>
          <w:p>
            <w:r>
              <w:rPr>
                <w:rFonts w:ascii="Calibri" w:hAnsi="Calibri"/>
                <w:sz w:val="20"/>
              </w:rPr>
              <w:t>Log Headers</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Send data to DataPro via JDBC</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Set Headers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Split Statements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Split Expr Value</w:t>
            </w:r>
          </w:p>
        </w:tc>
        <w:tc>
          <w:tcPr>
            <w:tcW w:type="dxa" w:w="5783"/>
          </w:tcPr>
          <w:p>
            <w:r>
              <w:rPr>
                <w:rFonts w:ascii="Calibri" w:hAnsi="Calibri"/>
                <w:sz w:val="20"/>
              </w:rPr>
              <w:t>//Statement</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286153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861534"/>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sender is configured with the ProcessDirect adapter to receive IDocs from gSAP. No authentication is configured at the adapter level.</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/GSAP/MATMAS_MATMAS05_ZX_MATMAS05</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ProcessDirect</w:t>
            </w:r>
          </w:p>
        </w:tc>
      </w:tr>
      <w:tr>
        <w:trPr>
          <w:cantSplit/>
        </w:trPr>
        <w:tc>
          <w:tcPr>
            <w:tcW w:type="dxa" w:w="3118"/>
          </w:tcPr>
          <w:p>
            <w:r>
              <w:rPr>
                <w:rFonts w:ascii="Calibri" w:hAnsi="Calibri"/>
                <w:sz w:val="20"/>
              </w:rPr>
              <w:t>Protocol</w:t>
            </w:r>
          </w:p>
        </w:tc>
        <w:tc>
          <w:tcPr>
            <w:tcW w:type="dxa" w:w="5783"/>
          </w:tcPr>
          <w:p>
            <w:r>
              <w:rPr>
                <w:rFonts w:ascii="Calibri" w:hAnsi="Calibri"/>
                <w:sz w:val="20"/>
              </w:rPr>
              <w:t>Not Applicable over Not Applicable</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Not configured</w:t>
            </w:r>
          </w:p>
        </w:tc>
      </w:tr>
      <w:tr>
        <w:trPr>
          <w:cantSplit/>
        </w:trPr>
        <w:tc>
          <w:tcPr>
            <w:tcW w:type="dxa" w:w="3118"/>
          </w:tcPr>
          <w:p>
            <w:r>
              <w:rPr>
                <w:rFonts w:ascii="Calibri" w:hAnsi="Calibri"/>
                <w:sz w:val="20"/>
              </w:rPr>
              <w:t>User Role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receiver is configured with the JDBC adapter to insert data into the DataPro database. The connection details are defined by the JDBC DataSource Alias.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DataPro_PricingCondition</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DataPro_PricingCondition</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DataPro</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mm_MATMAS_MATMAS05_to_MaterialMaster</w:t>
            </w:r>
          </w:p>
        </w:tc>
        <w:tc>
          <w:tcPr>
            <w:tcW w:type="dxa" w:w="2835"/>
          </w:tcPr>
          <w:p>
            <w:r>
              <w:rPr>
                <w:rFonts w:ascii="Calibri" w:hAnsi="Calibri"/>
                <w:sz w:val="20"/>
              </w:rPr>
              <w:t>This mapping transforms MATMAS MATMAS05 data into the MaterialMaster structure used later in SAP CI.</w:t>
              <w:br/>
              <w:t>It is executed during message processing to reshape the payload before the next handoff.</w:t>
            </w:r>
          </w:p>
        </w:tc>
        <w:tc>
          <w:tcPr>
            <w:tcW w:type="dxa" w:w="3798"/>
          </w:tcPr>
          <w:p>
            <w:r>
              <w:rPr>
                <w:rFonts w:ascii="Calibri" w:hAnsi="Calibri"/>
                <w:sz w:val="20"/>
              </w:rPr>
              <w:t>src\main\resources\mapping\mm_MATMAS_MATMAS05_to_MaterialMaster.mmap</w:t>
            </w:r>
          </w:p>
        </w:tc>
      </w:tr>
    </w:tbl>
    <w:p/>
    <w:p>
      <w:pPr>
        <w:pStyle w:val="Heading3"/>
        <w:keepNext/>
        <w:keepLines/>
        <w:outlineLvl w:val="2"/>
        <w:collapsed w:val="1"/>
        <w15:collapsed xmlns:w15="http://schemas.microsoft.com/office/word/2012/wordml"/>
      </w:pPr>
      <w:r>
        <w:rPr>
          <w:rFonts w:ascii="Calibri Light" w:hAnsi="Calibri Light"/>
          <w:color w:val="212529"/>
          <w:sz w:val="24"/>
        </w:rPr>
        <w:t>mm_MATMAS_MATMAS05_to_MaterialMaster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MATMAS MATMAS05</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MaterialMaster</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Not configured for ProcessDirect sender. JDBC authentication depends on the JDBC DataSource Alias configuration.</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Not configured</w:t>
            </w:r>
          </w:p>
        </w:tc>
      </w:tr>
      <w:tr>
        <w:trPr>
          <w:cantSplit/>
        </w:trPr>
        <w:tc>
          <w:tcPr>
            <w:tcW w:type="dxa" w:w="3118"/>
          </w:tcPr>
          <w:p>
            <w:r>
              <w:rPr>
                <w:rFonts w:ascii="Calibri" w:hAnsi="Calibri"/>
                <w:sz w:val="20"/>
              </w:rPr>
              <w:t>Encryption</w:t>
            </w:r>
          </w:p>
        </w:tc>
        <w:tc>
          <w:tcPr>
            <w:tcW w:type="dxa" w:w="5783"/>
          </w:tcPr>
          <w:p>
            <w:r>
              <w:rPr>
                <w:rFonts w:ascii="Calibri" w:hAnsi="Calibri"/>
                <w:sz w:val="20"/>
              </w:rPr>
              <w:t>TLS/SSL depends on the JDBC DataSource Alias configuration.</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Http Session Handling</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Return Exception To Sender</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Log</w:t>
            </w:r>
          </w:p>
        </w:tc>
        <w:tc>
          <w:tcPr>
            <w:tcW w:type="dxa" w:w="5783"/>
          </w:tcPr>
          <w:p>
            <w:r>
              <w:rPr>
                <w:rFonts w:ascii="Calibri" w:hAnsi="Calibri"/>
                <w:sz w:val="20"/>
              </w:rPr>
              <w:t>All events</w:t>
            </w:r>
          </w:p>
        </w:tc>
      </w:tr>
      <w:tr>
        <w:trPr>
          <w:cantSplit/>
        </w:trPr>
        <w:tc>
          <w:tcPr>
            <w:tcW w:type="dxa" w:w="3118"/>
            <w:shd w:fill="F5F8FA"/>
          </w:tcPr>
          <w:p>
            <w:r>
              <w:rPr>
                <w:rFonts w:ascii="Calibri" w:hAnsi="Calibri"/>
                <w:sz w:val="20"/>
              </w:rPr>
              <w:t>Cors Enabled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Server Trace</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Access Control Allow Credentials</w:t>
            </w:r>
          </w:p>
        </w:tc>
        <w:tc>
          <w:tcPr>
            <w:tcW w:type="dxa" w:w="5783"/>
            <w:shd w:fill="F5F8FA"/>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for logging message headers and payloads. These scripts enhance the monitoring and debugging capabilities of the iFlow.</w:t>
      </w:r>
    </w:p>
    <w:p>
      <w:pPr>
        <w:pStyle w:val="Heading3"/>
        <w:keepNext/>
        <w:keepLines/>
        <w:outlineLvl w:val="2"/>
        <w:collapsed w:val="1"/>
        <w15:collapsed xmlns:w15="http://schemas.microsoft.com/office/word/2012/wordml"/>
      </w:pPr>
      <w:r>
        <w:rPr>
          <w:rFonts w:ascii="Calibri Light" w:hAnsi="Calibri Light"/>
          <w:color w:val="212529"/>
          <w:sz w:val="24"/>
        </w:rPr>
        <w:t>Interface_Generic_Headers.groovy</w:t>
      </w:r>
    </w:p>
    <w:p>
      <w:pPr>
        <w:spacing w:after="160" w:line="276" w:lineRule="auto"/>
      </w:pPr>
      <w:r>
        <w:rPr>
          <w:rFonts w:ascii="Calibri" w:hAnsi="Calibri"/>
          <w:b w:val="0"/>
          <w:i w:val="0"/>
          <w:color w:val="212529"/>
          <w:sz w:val="22"/>
        </w:rPr>
        <w:t>This script logs the values of specific message headers (Country, Region, BusinessObject, Sender, Receiver, TimeStamp, MaterialNumber, IDocNumber) to the message log for monitoring and auditing purposes.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 xml:space="preserve">def Message processData(Message message) </w:t>
        <w:br/>
        <w:t>{</w:t>
        <w:br/>
        <w:tab/>
        <w:t>def messageLog = messageLogFactory.getMessageLog(message);</w:t>
        <w:br/>
        <w:tab/>
        <w:t>if(messageLog != null)</w:t>
        <w:br/>
        <w:tab/>
        <w:tab/>
        <w:t>{</w:t>
        <w:br/>
        <w:tab/>
        <w:tab/>
        <w:tab/>
        <w:t xml:space="preserve">def Country = message.getHeaders().get("Country");        </w:t>
        <w:br/>
        <w:tab/>
        <w:tab/>
        <w:tab/>
        <w:t>if(Country!=null)</w:t>
        <w:br/>
        <w:tab/>
        <w:tab/>
        <w:tab/>
        <w:tab/>
        <w:t>{</w:t>
        <w:br/>
        <w:tab/>
        <w:tab/>
        <w:tab/>
        <w:tab/>
        <w:tab/>
        <w:t xml:space="preserve">messageLog.addCustomHeaderProperty("Country", Country);        </w:t>
        <w:br/>
        <w:t xml:space="preserve">        </w:t>
        <w:tab/>
        <w:tab/>
        <w:tab/>
        <w:t>}</w:t>
        <w:br/>
        <w:tab/>
        <w:tab/>
        <w:tab/>
        <w:br/>
        <w:tab/>
        <w:tab/>
        <w:tab/>
        <w:t xml:space="preserve">def Region = message.getHeaders().get("Region");        </w:t>
        <w:br/>
        <w:tab/>
        <w:tab/>
        <w:tab/>
        <w:t>if(Region!=null)</w:t>
        <w:br/>
        <w:tab/>
        <w:tab/>
        <w:tab/>
        <w:tab/>
        <w:t>{</w:t>
        <w:br/>
        <w:tab/>
        <w:tab/>
        <w:tab/>
        <w:tab/>
        <w:tab/>
        <w:t xml:space="preserve">messageLog.addCustomHeaderProperty("Region", Region);        </w:t>
        <w:br/>
        <w:t xml:space="preserve">        </w:t>
        <w:tab/>
        <w:tab/>
        <w:tab/>
        <w:t>}</w:t>
        <w:br/>
        <w:tab/>
        <w:tab/>
        <w:tab/>
        <w:br/>
        <w:tab/>
        <w:tab/>
        <w:tab/>
        <w:t xml:space="preserve">def BusinessObject = message.getHeaders().get("BusinessObject");        </w:t>
        <w:br/>
        <w:tab/>
        <w:tab/>
        <w:tab/>
        <w:t>if(BusinessObject!=null)</w:t>
        <w:br/>
        <w:tab/>
        <w:tab/>
        <w:tab/>
        <w:tab/>
        <w:t>{</w:t>
        <w:br/>
        <w:tab/>
        <w:tab/>
        <w:tab/>
        <w:tab/>
        <w:tab/>
        <w:t xml:space="preserve">messageLog.addCustomHeaderProperty("BusinessObject", BusinessObject);        </w:t>
        <w:br/>
        <w:tab/>
        <w:tab/>
        <w:tab/>
        <w:tab/>
        <w:t>}</w:t>
        <w:br/>
        <w:br/>
        <w:tab/>
        <w:tab/>
        <w:tab/>
        <w:t xml:space="preserve">def Sender = message.getHeaders().get("Sender");        </w:t>
        <w:br/>
        <w:tab/>
        <w:tab/>
        <w:tab/>
        <w:t>if(Sender!=null)</w:t>
        <w:br/>
        <w:tab/>
        <w:tab/>
        <w:tab/>
        <w:tab/>
        <w:t>{</w:t>
        <w:br/>
        <w:tab/>
        <w:tab/>
        <w:tab/>
        <w:tab/>
        <w:tab/>
        <w:t xml:space="preserve">messageLog.addCustomHeaderProperty("Sender", Sender);        </w:t>
        <w:br/>
        <w:tab/>
        <w:tab/>
        <w:tab/>
        <w:tab/>
        <w:t>}</w:t>
        <w:br/>
        <w:t xml:space="preserve">        </w:t>
        <w:br/>
        <w:tab/>
        <w:tab/>
        <w:tab/>
        <w:t xml:space="preserve">def Receiver = message.getHeaders().get("Receiver");        </w:t>
        <w:br/>
        <w:tab/>
        <w:tab/>
        <w:tab/>
        <w:t>if(Receiver!=null)</w:t>
        <w:br/>
        <w:tab/>
        <w:tab/>
        <w:tab/>
        <w:tab/>
        <w:t>{</w:t>
        <w:br/>
        <w:tab/>
        <w:tab/>
        <w:tab/>
        <w:tab/>
        <w:tab/>
        <w:t xml:space="preserve">messageLog.addCustomHeaderProperty("Receiver", Receiver);        </w:t>
        <w:br/>
        <w:tab/>
        <w:tab/>
        <w:tab/>
        <w:tab/>
        <w:t>}</w:t>
        <w:br/>
        <w:tab/>
        <w:tab/>
        <w:tab/>
        <w:br/>
        <w:tab/>
        <w:tab/>
        <w:tab/>
        <w:t xml:space="preserve">def TimeStamp = message.getHeaders().get("TimeStamp");        </w:t>
        <w:br/>
        <w:t xml:space="preserve">        </w:t>
        <w:tab/>
        <w:tab/>
        <w:t>if(TimeStamp!=null)</w:t>
        <w:br/>
        <w:tab/>
        <w:tab/>
        <w:tab/>
        <w:tab/>
        <w:t>{</w:t>
        <w:br/>
        <w:tab/>
        <w:tab/>
        <w:tab/>
        <w:tab/>
        <w:tab/>
        <w:t xml:space="preserve">messageLog.addCustomHeaderProperty("TimeStamp", TimeStamp);        </w:t>
        <w:br/>
        <w:tab/>
        <w:tab/>
        <w:tab/>
        <w:tab/>
        <w:t>}</w:t>
        <w:br/>
        <w:tab/>
        <w:tab/>
        <w:tab/>
        <w:t xml:space="preserve">def MaterialNumber = message.getHeaders().get("MaterialNumber");        </w:t>
        <w:br/>
        <w:t xml:space="preserve">        </w:t>
        <w:tab/>
        <w:tab/>
        <w:t>if(MaterialNumber!=null)</w:t>
        <w:br/>
        <w:tab/>
        <w:tab/>
        <w:tab/>
        <w:tab/>
        <w:t>{</w:t>
        <w:br/>
        <w:tab/>
        <w:tab/>
        <w:tab/>
        <w:tab/>
        <w:tab/>
        <w:t xml:space="preserve">messageLog.addCustomHeaderProperty("MaterialNumber", MaterialNumber);        </w:t>
        <w:br/>
        <w:tab/>
        <w:tab/>
        <w:tab/>
        <w:tab/>
        <w:t>}</w:t>
        <w:br/>
        <w:tab/>
        <w:tab/>
        <w:tab/>
        <w:tab/>
        <w:t xml:space="preserve">def IDocNumber = message.getHeaders().get("IDocNumber");        </w:t>
        <w:br/>
        <w:t xml:space="preserve">        </w:t>
        <w:tab/>
        <w:tab/>
        <w:t>if(IDocNumber!=null)</w:t>
        <w:br/>
        <w:tab/>
        <w:tab/>
        <w:tab/>
        <w:tab/>
        <w:t>{</w:t>
        <w:br/>
        <w:tab/>
        <w:tab/>
        <w:tab/>
        <w:tab/>
        <w:tab/>
        <w:t xml:space="preserve">messageLog.addCustomHeaderProperty("IDocNumber", IDocNumber);        </w:t>
        <w:br/>
        <w:tab/>
        <w:tab/>
        <w:tab/>
        <w:tab/>
        <w:t>}</w:t>
        <w:br/>
        <w:tab/>
        <w:tab/>
        <w:t>}</w:t>
        <w:br/>
        <w:br/>
        <w:tab/>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Log_Payload.groovy</w:t>
      </w:r>
    </w:p>
    <w:p>
      <w:pPr>
        <w:spacing w:after="160" w:line="276" w:lineRule="auto"/>
      </w:pPr>
      <w:r>
        <w:rPr>
          <w:rFonts w:ascii="Calibri" w:hAnsi="Calibri"/>
          <w:b w:val="0"/>
          <w:i w:val="0"/>
          <w:color w:val="212529"/>
          <w:sz w:val="22"/>
        </w:rPr>
        <w:t>This script logs the message payload as an attachment to the message log. This is useful for debugging and auditing purposes.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br/>
        <w:t>def Message processData(Message message) {</w:t>
        <w:br/>
        <w:tab/>
        <w:t>def body = message.getBody(java.lang.String) as String;</w:t>
        <w:br/>
        <w:tab/>
        <w:t>def messageLog = messageLogFactory.getMessageLog(message);</w:t>
        <w:br/>
        <w:tab/>
        <w:t>messageLog.addAttachmentAsString("Output", body, "text/plain");</w:t>
        <w:br/>
        <w:tab/>
        <w:tab/>
        <w:br/>
        <w:tab/>
        <w:t>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This subprocess logs the payload and terminates the iFlow with an error.</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errors, reads the payload from the 'InputPayload' property, logs the payload using the 'Log_Payload.groovy' script, and terminates the iFlow with an error end event.</w:t>
            </w:r>
          </w:p>
        </w:tc>
      </w:tr>
      <w:tr>
        <w:trPr>
          <w:cantSplit/>
        </w:trPr>
        <w:tc>
          <w:tcPr>
            <w:tcW w:type="dxa" w:w="3118"/>
          </w:tcPr>
          <w:p>
            <w:r>
              <w:rPr>
                <w:rFonts w:ascii="Calibri" w:hAnsi="Calibri"/>
                <w:sz w:val="20"/>
              </w:rPr>
              <w:t>Alerting</w:t>
            </w:r>
          </w:p>
        </w:tc>
        <w:tc>
          <w:tcPr>
            <w:tcW w:type="dxa" w:w="5783"/>
          </w:tcPr>
          <w:p>
            <w:r>
              <w:rPr>
                <w:rFonts w:ascii="Calibri" w:hAnsi="Calibri"/>
                <w:sz w:val="20"/>
              </w:rPr>
              <w:t>Not configured in iFlow</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Not configured in iFlow</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Log_Payload.groovy</w:t>
            </w:r>
          </w:p>
        </w:tc>
      </w:tr>
    </w:tbl>
    <w:p/>
    <w:p>
      <w:pPr>
        <w:pStyle w:val="Heading4"/>
        <w:keepNext/>
        <w:keepLines/>
        <w:outlineLvl w:val="3"/>
      </w:pPr>
      <w:r>
        <w:rPr>
          <w:rFonts w:ascii="Calibri Light" w:hAnsi="Calibri Light"/>
          <w:color w:val="212529"/>
          <w:sz w:val="24"/>
        </w:rPr>
        <w:t>Child Element: callActivity Read the payload from property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1.3</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Not found in iFlow</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GSAP_MaterialMaster_DataPro.iflw</w:t>
      </w:r>
    </w:p>
    <w:p>
      <w:pPr>
        <w:pStyle w:val="ListBullet"/>
      </w:pPr>
      <w:r>
        <w:rPr>
          <w:rFonts w:ascii="Calibri" w:hAnsi="Calibri"/>
          <w:sz w:val="22"/>
        </w:rPr>
        <w:t>Groovy Script: Interface_Generic_Headers.groovy</w:t>
      </w:r>
    </w:p>
    <w:p>
      <w:pPr>
        <w:pStyle w:val="ListBullet"/>
      </w:pPr>
      <w:r>
        <w:rPr>
          <w:rFonts w:ascii="Calibri" w:hAnsi="Calibri"/>
          <w:sz w:val="22"/>
        </w:rPr>
        <w:t>Groovy Script: Log_Payload.groovy</w:t>
      </w:r>
    </w:p>
    <w:p>
      <w:pPr>
        <w:pStyle w:val="ListBullet"/>
      </w:pPr>
      <w:r>
        <w:rPr>
          <w:rFonts w:ascii="Calibri" w:hAnsi="Calibri"/>
          <w:sz w:val="22"/>
        </w:rPr>
        <w:t>Message Flows: 2</w:t>
      </w:r>
    </w:p>
    <w:p>
      <w:pPr>
        <w:pStyle w:val="ListBullet"/>
      </w:pPr>
      <w:r>
        <w:rPr>
          <w:rFonts w:ascii="Calibri" w:hAnsi="Calibri"/>
          <w:sz w:val="22"/>
        </w:rPr>
        <w:t>Sequence Flows: 8</w:t>
      </w:r>
    </w:p>
    <w:p>
      <w:pPr>
        <w:pStyle w:val="ListBullet"/>
      </w:pPr>
      <w:r>
        <w:rPr>
          <w:rFonts w:ascii="Calibri" w:hAnsi="Calibri"/>
          <w:sz w:val="22"/>
        </w:rPr>
        <w:t>Mapping Activities: 1</w:t>
      </w:r>
    </w:p>
    <w:p>
      <w:pPr>
        <w:pStyle w:val="ListBullet"/>
      </w:pPr>
      <w:r>
        <w:rPr>
          <w:rFonts w:ascii="Calibri" w:hAnsi="Calibri"/>
          <w:sz w:val="22"/>
        </w:rPr>
        <w:t>Log_Payload.groovy</w:t>
      </w:r>
    </w:p>
    <w:p>
      <w:pPr>
        <w:pStyle w:val="ListBullet"/>
      </w:pPr>
      <w:r>
        <w:rPr>
          <w:rFonts w:ascii="Calibri" w:hAnsi="Calibri"/>
          <w:sz w:val="22"/>
        </w:rPr>
        <w:t>Interface_Generic_Headers.groovy</w:t>
      </w:r>
    </w:p>
    <w:p>
      <w:pPr>
        <w:pStyle w:val="ListBullet"/>
      </w:pPr>
      <w:r>
        <w:rPr>
          <w:rFonts w:ascii="Calibri" w:hAnsi="Calibri"/>
          <w:sz w:val="22"/>
        </w:rPr>
        <w:t>mm_MATMAS_MATMAS05_to_MaterialMaster.mmap</w:t>
      </w:r>
    </w:p>
    <w:p>
      <w:pPr>
        <w:pStyle w:val="ListBullet"/>
      </w:pPr>
      <w:r>
        <w:rPr>
          <w:rFonts w:ascii="Calibri" w:hAnsi="Calibri"/>
          <w:sz w:val="22"/>
        </w:rPr>
        <w:t>MATMAS.MATMAS05.ZX_MATMAS05.wsdl</w:t>
      </w:r>
    </w:p>
    <w:p>
      <w:pPr>
        <w:pStyle w:val="ListBullet"/>
      </w:pPr>
      <w:r>
        <w:rPr>
          <w:rFonts w:ascii="Calibri" w:hAnsi="Calibri"/>
          <w:sz w:val="22"/>
        </w:rPr>
        <w:t>MT_Insert_MaterialMaster.wsdl</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BatchMode</w:t>
            </w:r>
          </w:p>
        </w:tc>
        <w:tc>
          <w:tcPr>
            <w:tcW w:type="dxa" w:w="2835"/>
          </w:tcPr>
          <w:p>
            <w:r>
              <w:rPr>
                <w:rFonts w:ascii="Calibri" w:hAnsi="Calibri"/>
                <w:sz w:val="20"/>
              </w:rPr>
              <w:t>false</w:t>
            </w:r>
          </w:p>
        </w:tc>
        <w:tc>
          <w:tcPr>
            <w:tcW w:type="dxa" w:w="3798"/>
          </w:tcPr>
          <w:p>
            <w:r>
              <w:rPr>
                <w:rFonts w:ascii="Calibri" w:hAnsi="Calibri"/>
                <w:sz w:val="20"/>
              </w:rPr>
              <w:t>Receiver - Batch Mode</w:t>
            </w:r>
          </w:p>
        </w:tc>
      </w:tr>
      <w:tr>
        <w:trPr>
          <w:cantSplit/>
        </w:trPr>
        <w:tc>
          <w:tcPr>
            <w:tcW w:type="dxa" w:w="2268"/>
            <w:shd w:fill="F5F8FA"/>
          </w:tcPr>
          <w:p>
            <w:r>
              <w:rPr>
                <w:rFonts w:ascii="Calibri" w:hAnsi="Calibri"/>
                <w:sz w:val="20"/>
              </w:rPr>
              <w:t>ConnectionTimeout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Connection Timeout</w:t>
            </w:r>
          </w:p>
        </w:tc>
      </w:tr>
      <w:tr>
        <w:trPr>
          <w:cantSplit/>
        </w:trPr>
        <w:tc>
          <w:tcPr>
            <w:tcW w:type="dxa" w:w="2268"/>
          </w:tcPr>
          <w:p>
            <w:r>
              <w:rPr>
                <w:rFonts w:ascii="Calibri" w:hAnsi="Calibri"/>
                <w:sz w:val="20"/>
              </w:rPr>
              <w:t>JDBCDataSourceAlias</w:t>
            </w:r>
          </w:p>
        </w:tc>
        <w:tc>
          <w:tcPr>
            <w:tcW w:type="dxa" w:w="2835"/>
          </w:tcPr>
          <w:p>
            <w:r>
              <w:rPr>
                <w:rFonts w:ascii="Calibri" w:hAnsi="Calibri"/>
                <w:sz w:val="20"/>
              </w:rPr>
              <w:t>DataPro_PricingCondition</w:t>
            </w:r>
          </w:p>
        </w:tc>
        <w:tc>
          <w:tcPr>
            <w:tcW w:type="dxa" w:w="3798"/>
          </w:tcPr>
          <w:p>
            <w:r>
              <w:rPr>
                <w:rFonts w:ascii="Calibri" w:hAnsi="Calibri"/>
                <w:sz w:val="20"/>
              </w:rPr>
              <w:t>Receiver - Alias</w:t>
            </w:r>
          </w:p>
        </w:tc>
      </w:tr>
      <w:tr>
        <w:trPr>
          <w:cantSplit/>
        </w:trPr>
        <w:tc>
          <w:tcPr>
            <w:tcW w:type="dxa" w:w="2268"/>
            <w:shd w:fill="F5F8FA"/>
          </w:tcPr>
          <w:p>
            <w:r>
              <w:rPr>
                <w:rFonts w:ascii="Calibri" w:hAnsi="Calibri"/>
                <w:sz w:val="20"/>
              </w:rPr>
              <w:t>MaximumRecords</w:t>
            </w:r>
          </w:p>
        </w:tc>
        <w:tc>
          <w:tcPr>
            <w:tcW w:type="dxa" w:w="2835"/>
            <w:shd w:fill="F5F8FA"/>
          </w:tcPr>
          <w:p>
            <w:r>
              <w:rPr>
                <w:rFonts w:ascii="Calibri" w:hAnsi="Calibri"/>
                <w:sz w:val="20"/>
              </w:rPr>
              <w:t>10000</w:t>
            </w:r>
          </w:p>
        </w:tc>
        <w:tc>
          <w:tcPr>
            <w:tcW w:type="dxa" w:w="3798"/>
            <w:shd w:fill="F5F8FA"/>
          </w:tcPr>
          <w:p>
            <w:r>
              <w:rPr>
                <w:rFonts w:ascii="Calibri" w:hAnsi="Calibri"/>
                <w:sz w:val="20"/>
              </w:rPr>
              <w:t>Receiver - Page Size</w:t>
            </w:r>
          </w:p>
        </w:tc>
      </w:tr>
      <w:tr>
        <w:trPr>
          <w:cantSplit/>
        </w:trPr>
        <w:tc>
          <w:tcPr>
            <w:tcW w:type="dxa" w:w="2268"/>
          </w:tcPr>
          <w:p>
            <w:r>
              <w:rPr>
                <w:rFonts w:ascii="Calibri" w:hAnsi="Calibri"/>
                <w:sz w:val="20"/>
              </w:rPr>
              <w:t>Query/ResponseTimeout</w:t>
            </w:r>
          </w:p>
        </w:tc>
        <w:tc>
          <w:tcPr>
            <w:tcW w:type="dxa" w:w="2835"/>
          </w:tcPr>
          <w:p>
            <w:r>
              <w:rPr>
                <w:rFonts w:ascii="Calibri" w:hAnsi="Calibri"/>
                <w:sz w:val="20"/>
              </w:rPr>
              <w:t>3</w:t>
            </w:r>
          </w:p>
        </w:tc>
        <w:tc>
          <w:tcPr>
            <w:tcW w:type="dxa" w:w="3798"/>
          </w:tcPr>
          <w:p>
            <w:r>
              <w:rPr>
                <w:rFonts w:ascii="Calibri" w:hAnsi="Calibri"/>
                <w:sz w:val="20"/>
              </w:rPr>
              <w:t>Receiver - Query Timeout</w:t>
            </w:r>
          </w:p>
        </w:tc>
      </w:tr>
      <w:tr>
        <w:trPr>
          <w:cantSplit/>
        </w:trPr>
        <w:tc>
          <w:tcPr>
            <w:tcW w:type="dxa" w:w="2268"/>
            <w:shd w:fill="F5F8FA"/>
          </w:tcPr>
          <w:p>
            <w:r>
              <w:rPr>
                <w:rFonts w:ascii="Calibri" w:hAnsi="Calibri"/>
                <w:sz w:val="20"/>
              </w:rPr>
              <w:t>Sender_Address</w:t>
            </w:r>
          </w:p>
        </w:tc>
        <w:tc>
          <w:tcPr>
            <w:tcW w:type="dxa" w:w="2835"/>
            <w:shd w:fill="F5F8FA"/>
          </w:tcPr>
          <w:p>
            <w:r>
              <w:rPr>
                <w:rFonts w:ascii="Calibri" w:hAnsi="Calibri"/>
                <w:sz w:val="20"/>
              </w:rPr>
              <w:t>/GSAP/MATMAS_MATMAS05_ZX_MATMAS05</w:t>
            </w:r>
          </w:p>
        </w:tc>
        <w:tc>
          <w:tcPr>
            <w:tcW w:type="dxa" w:w="3798"/>
            <w:shd w:fill="F5F8FA"/>
          </w:tcPr>
          <w:p>
            <w:r>
              <w:rPr>
                <w:rFonts w:ascii="Calibri" w:hAnsi="Calibri"/>
                <w:sz w:val="20"/>
              </w:rPr>
              <w:t>Sender - Address</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GSAP_MaterialMaster_DataPro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