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800C8" w14:textId="3B3019F8" w:rsidR="00315DE5" w:rsidRPr="00315DE5" w:rsidRDefault="0042273E" w:rsidP="00315DE5">
      <w:pPr>
        <w:rPr>
          <w:b/>
          <w:sz w:val="36"/>
          <w:szCs w:val="36"/>
          <w:u w:val="single"/>
        </w:rPr>
      </w:pPr>
      <w:r>
        <w:rPr>
          <w:b/>
          <w:sz w:val="36"/>
          <w:szCs w:val="36"/>
          <w:u w:val="single"/>
        </w:rPr>
        <w:t>Car Sales (2024)</w:t>
      </w:r>
    </w:p>
    <w:p w14:paraId="51659365" w14:textId="74BE7DAB" w:rsidR="004C0974" w:rsidRDefault="00315DE5" w:rsidP="00315DE5">
      <w:pPr>
        <w:rPr>
          <w:rStyle w:val="Hyperlink"/>
        </w:rPr>
      </w:pPr>
      <w:r>
        <w:t xml:space="preserve">Kaggle link to dataset: </w:t>
      </w:r>
      <w:hyperlink r:id="rId5" w:history="1">
        <w:r w:rsidRPr="00315DE5">
          <w:rPr>
            <w:rStyle w:val="Hyperlink"/>
          </w:rPr>
          <w:t>click here</w:t>
        </w:r>
      </w:hyperlink>
    </w:p>
    <w:p w14:paraId="170DBF57" w14:textId="523BA77F" w:rsidR="00315DE5" w:rsidRDefault="008A4C4A" w:rsidP="00315DE5">
      <w:r>
        <w:t>With COVID-1</w:t>
      </w:r>
      <w:r w:rsidR="00AF4832">
        <w:t>9</w:t>
      </w:r>
      <w:r>
        <w:t xml:space="preserve"> hitting the world in 2020, I am interested to find out the trends of car sales prior to this and which companies were growing in relation to sales revenue, volume and number of models. </w:t>
      </w:r>
    </w:p>
    <w:p w14:paraId="278674D8" w14:textId="2BD29544" w:rsidR="008A4C4A" w:rsidRDefault="008A4C4A" w:rsidP="00315DE5">
      <w:r>
        <w:t>To do this I have used the dataset ‘DVM-Car’ found in the link at the top of this article and cleaned the data. This has then allowed me to use SQL Queries and Data Visualisation tools to come up with my analysis.</w:t>
      </w:r>
    </w:p>
    <w:p w14:paraId="03FABC57" w14:textId="6C18A709" w:rsidR="008A4C4A" w:rsidRDefault="008A4C4A" w:rsidP="00315DE5">
      <w:pPr>
        <w:rPr>
          <w:b/>
          <w:bCs/>
          <w:u w:val="single"/>
        </w:rPr>
      </w:pPr>
      <w:r w:rsidRPr="008A4C4A">
        <w:rPr>
          <w:b/>
          <w:bCs/>
          <w:u w:val="single"/>
        </w:rPr>
        <w:t>QUESTIONS TO ANSWER</w:t>
      </w:r>
    </w:p>
    <w:p w14:paraId="51958594" w14:textId="15E4276D" w:rsidR="008A4C4A" w:rsidRDefault="008A4C4A" w:rsidP="008A4C4A">
      <w:pPr>
        <w:pStyle w:val="ListParagraph"/>
        <w:numPr>
          <w:ilvl w:val="0"/>
          <w:numId w:val="1"/>
        </w:numPr>
      </w:pPr>
      <w:r>
        <w:t>Does the release of more car models lead to higher sales volume?</w:t>
      </w:r>
    </w:p>
    <w:p w14:paraId="5F002EF4" w14:textId="55959E5C" w:rsidR="008A4C4A" w:rsidRDefault="00DD4232" w:rsidP="008A4C4A">
      <w:pPr>
        <w:pStyle w:val="ListParagraph"/>
        <w:numPr>
          <w:ilvl w:val="0"/>
          <w:numId w:val="1"/>
        </w:numPr>
      </w:pPr>
      <w:r>
        <w:t>Which companies sold the most cars between 2017 &amp; 2019?</w:t>
      </w:r>
    </w:p>
    <w:p w14:paraId="0005DBF3" w14:textId="77777777" w:rsidR="00AF4832" w:rsidRPr="00AF4832" w:rsidRDefault="00AF4832" w:rsidP="00AF4832">
      <w:pPr>
        <w:pStyle w:val="ListParagraph"/>
        <w:numPr>
          <w:ilvl w:val="0"/>
          <w:numId w:val="1"/>
        </w:numPr>
      </w:pPr>
      <w:r w:rsidRPr="00AF4832">
        <w:t>Are Tesla the fastest growing manufacturer between 2017 to 2019?</w:t>
      </w:r>
    </w:p>
    <w:p w14:paraId="72B766C9" w14:textId="3DB5BC4E" w:rsidR="00AF4832" w:rsidRPr="00AF4832" w:rsidRDefault="00AF4832" w:rsidP="00AF4832">
      <w:pPr>
        <w:pStyle w:val="ListParagraph"/>
        <w:numPr>
          <w:ilvl w:val="0"/>
          <w:numId w:val="1"/>
        </w:numPr>
      </w:pPr>
      <w:r w:rsidRPr="00AF4832">
        <w:t>What type of cars being sold were the most popular?</w:t>
      </w:r>
    </w:p>
    <w:p w14:paraId="3188A924" w14:textId="30844D0D" w:rsidR="00AD1863" w:rsidRDefault="00AD1863" w:rsidP="00AD1863">
      <w:pPr>
        <w:rPr>
          <w:b/>
          <w:bCs/>
          <w:u w:val="single"/>
        </w:rPr>
      </w:pPr>
      <w:r w:rsidRPr="00AD1863">
        <w:rPr>
          <w:b/>
          <w:bCs/>
          <w:u w:val="single"/>
        </w:rPr>
        <w:t>HYPOTHESIS</w:t>
      </w:r>
    </w:p>
    <w:p w14:paraId="6956BD75" w14:textId="5AA7B1A0" w:rsidR="00AF4832" w:rsidRDefault="00AF4832" w:rsidP="00AF4832">
      <w:pPr>
        <w:pStyle w:val="ListParagraph"/>
        <w:numPr>
          <w:ilvl w:val="0"/>
          <w:numId w:val="7"/>
        </w:numPr>
      </w:pPr>
      <w:r w:rsidRPr="00AF4832">
        <w:t>New releases will increase sales volume if they are moderately priced.</w:t>
      </w:r>
    </w:p>
    <w:p w14:paraId="0051E71A" w14:textId="1420578E" w:rsidR="00AF4832" w:rsidRDefault="00AF4832" w:rsidP="00AF4832">
      <w:pPr>
        <w:pStyle w:val="ListParagraph"/>
        <w:numPr>
          <w:ilvl w:val="0"/>
          <w:numId w:val="7"/>
        </w:numPr>
      </w:pPr>
      <w:r>
        <w:t>Japanese Manufacturers will sell the most cars due to their affordability.</w:t>
      </w:r>
    </w:p>
    <w:p w14:paraId="17995D60" w14:textId="1E3DD272" w:rsidR="00AF4832" w:rsidRDefault="00AF4832" w:rsidP="00AF4832">
      <w:pPr>
        <w:pStyle w:val="ListParagraph"/>
        <w:numPr>
          <w:ilvl w:val="0"/>
          <w:numId w:val="7"/>
        </w:numPr>
      </w:pPr>
      <w:r>
        <w:t>Yes, because of the sift towards electric cars and their unique design.</w:t>
      </w:r>
    </w:p>
    <w:p w14:paraId="72CE54C8" w14:textId="52CE61EB" w:rsidR="00AF4832" w:rsidRPr="00AF4832" w:rsidRDefault="00AF4832" w:rsidP="00AF4832">
      <w:pPr>
        <w:pStyle w:val="ListParagraph"/>
        <w:numPr>
          <w:ilvl w:val="0"/>
          <w:numId w:val="7"/>
        </w:numPr>
      </w:pPr>
      <w:r w:rsidRPr="00AF4832">
        <w:t>Regular 1.0-2.0L petrol/diesel cars wil</w:t>
      </w:r>
      <w:r>
        <w:t>l be most popular due to price.</w:t>
      </w:r>
    </w:p>
    <w:p w14:paraId="125FB9F7" w14:textId="323E2090" w:rsidR="00AD1863" w:rsidRDefault="00AD1863" w:rsidP="00AD1863">
      <w:pPr>
        <w:rPr>
          <w:b/>
          <w:bCs/>
          <w:u w:val="single"/>
        </w:rPr>
      </w:pPr>
      <w:r w:rsidRPr="00AD1863">
        <w:rPr>
          <w:b/>
          <w:bCs/>
          <w:u w:val="single"/>
        </w:rPr>
        <w:t>DATA ANALYSIS</w:t>
      </w:r>
    </w:p>
    <w:p w14:paraId="6C06FAA6" w14:textId="2B20C519" w:rsidR="00AD1863" w:rsidRDefault="00AD1863" w:rsidP="00AD1863">
      <w:r>
        <w:t>I thought the Maker of the car was a very important factor in this study and to not combine all the sales revenue and volume together as to incorporate the size and strategy of each car manufacturer when making conclusions.</w:t>
      </w:r>
    </w:p>
    <w:p w14:paraId="54273623" w14:textId="3A2D8E30" w:rsidR="00AD1863" w:rsidRDefault="00AD1863" w:rsidP="00AD1863">
      <w:r>
        <w:t xml:space="preserve">The first variable I studied was the impact of new releases on sales volume. </w:t>
      </w:r>
    </w:p>
    <w:p w14:paraId="3A854AEA" w14:textId="7B6ABA8D" w:rsidR="00974910" w:rsidRPr="00AD1863" w:rsidRDefault="00D9572D" w:rsidP="00AD1863">
      <w:r w:rsidRPr="00D9572D">
        <w:rPr>
          <w:noProof/>
        </w:rPr>
        <w:drawing>
          <wp:inline distT="0" distB="0" distL="0" distR="0" wp14:anchorId="48839DC5" wp14:editId="36FE72A0">
            <wp:extent cx="5731510" cy="3203575"/>
            <wp:effectExtent l="0" t="0" r="0" b="0"/>
            <wp:docPr id="804029254" name="Chart 1">
              <a:extLst xmlns:a="http://schemas.openxmlformats.org/drawingml/2006/main">
                <a:ext uri="{FF2B5EF4-FFF2-40B4-BE49-F238E27FC236}">
                  <a16:creationId xmlns:a16="http://schemas.microsoft.com/office/drawing/2014/main" id="{06DEB915-BF4F-D4DB-CDBB-E005661495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38A4CA5" w14:textId="77777777" w:rsidR="00D9572D" w:rsidRDefault="00D9572D" w:rsidP="00315DE5">
      <w:r w:rsidRPr="00D9572D">
        <w:rPr>
          <w:noProof/>
        </w:rPr>
        <w:lastRenderedPageBreak/>
        <w:drawing>
          <wp:inline distT="0" distB="0" distL="0" distR="0" wp14:anchorId="7C55A42B" wp14:editId="28E676D9">
            <wp:extent cx="5876925" cy="2447925"/>
            <wp:effectExtent l="0" t="0" r="9525" b="9525"/>
            <wp:docPr id="1047475670" name="Chart 1">
              <a:extLst xmlns:a="http://schemas.openxmlformats.org/drawingml/2006/main">
                <a:ext uri="{FF2B5EF4-FFF2-40B4-BE49-F238E27FC236}">
                  <a16:creationId xmlns:a16="http://schemas.microsoft.com/office/drawing/2014/main" id="{9B29D926-7A7D-9A10-4DFF-F6A7233C4E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8847D70" w14:textId="214BDF78" w:rsidR="00315DE5" w:rsidRDefault="004D28E2" w:rsidP="00315DE5">
      <w:r w:rsidRPr="00D9572D">
        <w:rPr>
          <w:noProof/>
        </w:rPr>
        <w:drawing>
          <wp:anchor distT="0" distB="0" distL="114300" distR="114300" simplePos="0" relativeHeight="251659264" behindDoc="0" locked="0" layoutInCell="1" allowOverlap="1" wp14:anchorId="6A0162F4" wp14:editId="76C8B98F">
            <wp:simplePos x="0" y="0"/>
            <wp:positionH relativeFrom="margin">
              <wp:align>left</wp:align>
            </wp:positionH>
            <wp:positionV relativeFrom="paragraph">
              <wp:posOffset>1018540</wp:posOffset>
            </wp:positionV>
            <wp:extent cx="5829300" cy="3400425"/>
            <wp:effectExtent l="0" t="0" r="0" b="9525"/>
            <wp:wrapTopAndBottom/>
            <wp:docPr id="717454440" name="Chart 1">
              <a:extLst xmlns:a="http://schemas.openxmlformats.org/drawingml/2006/main">
                <a:ext uri="{FF2B5EF4-FFF2-40B4-BE49-F238E27FC236}">
                  <a16:creationId xmlns:a16="http://schemas.microsoft.com/office/drawing/2014/main" id="{A590D3ED-3134-9FAD-BFC3-CB00EB25A2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V relativeFrom="margin">
              <wp14:pctHeight>0</wp14:pctHeight>
            </wp14:sizeRelV>
          </wp:anchor>
        </w:drawing>
      </w:r>
      <w:r w:rsidR="00D9572D">
        <w:t xml:space="preserve">There was little correlation between new releases and sales volume even with them being cheaper on average. Bigger manufacturers seemed to be steady regardless with smaller ones more volatile. </w:t>
      </w:r>
      <w:r w:rsidR="00D7064B">
        <w:t xml:space="preserve">For example, Kia who made 3 new releases between 2017 &amp; 2019 and are one of the larger manufacturers only increased their sales volume by 8.6% whereas Smart made 0 releases but experienced a nearly 60% loss in sales volume. </w:t>
      </w:r>
    </w:p>
    <w:p w14:paraId="20EFA38D" w14:textId="6909353A" w:rsidR="00492665" w:rsidRDefault="00492665" w:rsidP="00315DE5"/>
    <w:p w14:paraId="54216F0D" w14:textId="5A98A506" w:rsidR="00D9572D" w:rsidRDefault="004D28E2" w:rsidP="00315DE5">
      <w:r w:rsidRPr="00D9572D">
        <w:rPr>
          <w:noProof/>
        </w:rPr>
        <w:lastRenderedPageBreak/>
        <w:drawing>
          <wp:anchor distT="0" distB="0" distL="114300" distR="114300" simplePos="0" relativeHeight="251658240" behindDoc="0" locked="0" layoutInCell="1" allowOverlap="1" wp14:anchorId="1BB8DDF3" wp14:editId="78C59B17">
            <wp:simplePos x="0" y="0"/>
            <wp:positionH relativeFrom="column">
              <wp:posOffset>0</wp:posOffset>
            </wp:positionH>
            <wp:positionV relativeFrom="paragraph">
              <wp:posOffset>0</wp:posOffset>
            </wp:positionV>
            <wp:extent cx="5672455" cy="2552700"/>
            <wp:effectExtent l="0" t="0" r="4445" b="0"/>
            <wp:wrapTopAndBottom/>
            <wp:docPr id="1240617170" name="Chart 1">
              <a:extLst xmlns:a="http://schemas.openxmlformats.org/drawingml/2006/main">
                <a:ext uri="{FF2B5EF4-FFF2-40B4-BE49-F238E27FC236}">
                  <a16:creationId xmlns:a16="http://schemas.microsoft.com/office/drawing/2014/main" id="{47950E9E-C203-6AF1-91D2-C168162634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6E730C92" w14:textId="499181D5" w:rsidR="003658D9" w:rsidRDefault="000115DB" w:rsidP="00315DE5">
      <w:r>
        <w:t xml:space="preserve">I then looked at highest selling and growing manufacturers between 2017 and 2019. There was no cross over </w:t>
      </w:r>
      <w:r w:rsidR="000829BB">
        <w:t>with German manufacturers dominating sales with a range in average pricing. Tesla were clearly growing the most with one of the highest growth rates at a high number of sales.</w:t>
      </w:r>
    </w:p>
    <w:p w14:paraId="325CCEA8" w14:textId="0114E26C" w:rsidR="00670945" w:rsidRDefault="000829BB" w:rsidP="00315DE5">
      <w:r w:rsidRPr="000829BB">
        <w:drawing>
          <wp:inline distT="0" distB="0" distL="0" distR="0" wp14:anchorId="3DD89B3C" wp14:editId="37FEA240">
            <wp:extent cx="5731510" cy="3086100"/>
            <wp:effectExtent l="0" t="0" r="2540" b="0"/>
            <wp:docPr id="976430071" name="Chart 1">
              <a:extLst xmlns:a="http://schemas.openxmlformats.org/drawingml/2006/main">
                <a:ext uri="{FF2B5EF4-FFF2-40B4-BE49-F238E27FC236}">
                  <a16:creationId xmlns:a16="http://schemas.microsoft.com/office/drawing/2014/main" id="{1D368361-7EB4-0FF4-09E9-ACB072BE27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277A8B7" w14:textId="347DAF49" w:rsidR="00974910" w:rsidRDefault="000829BB" w:rsidP="00315DE5">
      <w:r>
        <w:t>Petrol and Diesel cars were most popular with most engines ranging from 1 to 2 litres.</w:t>
      </w:r>
    </w:p>
    <w:p w14:paraId="3064B8B8" w14:textId="77777777" w:rsidR="004D28E2" w:rsidRDefault="004D28E2" w:rsidP="00315DE5">
      <w:pPr>
        <w:rPr>
          <w:b/>
          <w:bCs/>
          <w:u w:val="single"/>
        </w:rPr>
      </w:pPr>
    </w:p>
    <w:p w14:paraId="20B4CAB8" w14:textId="77777777" w:rsidR="004D28E2" w:rsidRDefault="004D28E2" w:rsidP="00315DE5">
      <w:pPr>
        <w:rPr>
          <w:b/>
          <w:bCs/>
          <w:u w:val="single"/>
        </w:rPr>
      </w:pPr>
    </w:p>
    <w:p w14:paraId="55466901" w14:textId="77777777" w:rsidR="004D28E2" w:rsidRDefault="004D28E2" w:rsidP="00315DE5">
      <w:pPr>
        <w:rPr>
          <w:b/>
          <w:bCs/>
          <w:u w:val="single"/>
        </w:rPr>
      </w:pPr>
    </w:p>
    <w:p w14:paraId="261930DB" w14:textId="77777777" w:rsidR="004D28E2" w:rsidRDefault="004D28E2" w:rsidP="00315DE5">
      <w:pPr>
        <w:rPr>
          <w:b/>
          <w:bCs/>
          <w:u w:val="single"/>
        </w:rPr>
      </w:pPr>
    </w:p>
    <w:p w14:paraId="0F5B22A2" w14:textId="77777777" w:rsidR="004D28E2" w:rsidRDefault="004D28E2" w:rsidP="00315DE5">
      <w:pPr>
        <w:rPr>
          <w:b/>
          <w:bCs/>
          <w:u w:val="single"/>
        </w:rPr>
      </w:pPr>
    </w:p>
    <w:p w14:paraId="2AC19B60" w14:textId="77777777" w:rsidR="004D28E2" w:rsidRDefault="004D28E2" w:rsidP="00315DE5">
      <w:pPr>
        <w:rPr>
          <w:b/>
          <w:bCs/>
          <w:u w:val="single"/>
        </w:rPr>
      </w:pPr>
    </w:p>
    <w:p w14:paraId="0DB6176C" w14:textId="364C5E12" w:rsidR="000829BB" w:rsidRPr="000829BB" w:rsidRDefault="000829BB" w:rsidP="00315DE5">
      <w:pPr>
        <w:rPr>
          <w:b/>
          <w:bCs/>
          <w:u w:val="single"/>
        </w:rPr>
      </w:pPr>
      <w:r w:rsidRPr="000829BB">
        <w:rPr>
          <w:b/>
          <w:bCs/>
          <w:u w:val="single"/>
        </w:rPr>
        <w:lastRenderedPageBreak/>
        <w:t>DEEPER ANALYSIS</w:t>
      </w:r>
    </w:p>
    <w:p w14:paraId="28C4C3AA" w14:textId="2062AE02" w:rsidR="00811DAC" w:rsidRDefault="000829BB" w:rsidP="00315DE5">
      <w:r w:rsidRPr="000829BB">
        <w:drawing>
          <wp:inline distT="0" distB="0" distL="0" distR="0" wp14:anchorId="4AABE63D" wp14:editId="53F1C56A">
            <wp:extent cx="5683250" cy="2635250"/>
            <wp:effectExtent l="0" t="0" r="12700" b="12700"/>
            <wp:docPr id="1101811408" name="Chart 1">
              <a:extLst xmlns:a="http://schemas.openxmlformats.org/drawingml/2006/main">
                <a:ext uri="{FF2B5EF4-FFF2-40B4-BE49-F238E27FC236}">
                  <a16:creationId xmlns:a16="http://schemas.microsoft.com/office/drawing/2014/main" id="{CC120C78-7EF4-B214-EAFB-5E21837872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1E29175" w14:textId="63516FE7" w:rsidR="00BA79BC" w:rsidRDefault="004D28E2" w:rsidP="00315DE5">
      <w:r w:rsidRPr="000829BB">
        <w:drawing>
          <wp:anchor distT="0" distB="0" distL="114300" distR="114300" simplePos="0" relativeHeight="251660288" behindDoc="0" locked="0" layoutInCell="1" allowOverlap="1" wp14:anchorId="39D8B304" wp14:editId="463EE62E">
            <wp:simplePos x="0" y="0"/>
            <wp:positionH relativeFrom="margin">
              <wp:align>right</wp:align>
            </wp:positionH>
            <wp:positionV relativeFrom="paragraph">
              <wp:posOffset>913765</wp:posOffset>
            </wp:positionV>
            <wp:extent cx="5731510" cy="3463925"/>
            <wp:effectExtent l="0" t="0" r="2540" b="3175"/>
            <wp:wrapTopAndBottom/>
            <wp:docPr id="1453861630" name="Chart 1">
              <a:extLst xmlns:a="http://schemas.openxmlformats.org/drawingml/2006/main">
                <a:ext uri="{FF2B5EF4-FFF2-40B4-BE49-F238E27FC236}">
                  <a16:creationId xmlns:a16="http://schemas.microsoft.com/office/drawing/2014/main" id="{5033A8D5-624F-A89E-7969-F81FD483DE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0829BB">
        <w:t xml:space="preserve">For the cars that were experiencing high growth, I wanted to see if there were any factors that </w:t>
      </w:r>
      <w:r w:rsidR="005D4C4B">
        <w:t>could have caused this. Tesla sell fully electric vehicles, and their growth is likely heavily impacted by this approach. Otherwise, Petrol still remained dominant for growing manufacturers showing there is a big way to go in going fully electric by 2030.</w:t>
      </w:r>
    </w:p>
    <w:p w14:paraId="531B3236" w14:textId="77777777" w:rsidR="005D4C4B" w:rsidRDefault="005D4C4B" w:rsidP="00315DE5"/>
    <w:p w14:paraId="34CFE65B" w14:textId="08768059" w:rsidR="00BA79BC" w:rsidRPr="00BA79BC" w:rsidRDefault="00BA79BC" w:rsidP="00315DE5">
      <w:pPr>
        <w:rPr>
          <w:b/>
          <w:u w:val="single"/>
        </w:rPr>
      </w:pPr>
    </w:p>
    <w:sectPr w:rsidR="00BA79BC" w:rsidRPr="00BA7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A6EE0"/>
    <w:multiLevelType w:val="hybridMultilevel"/>
    <w:tmpl w:val="7786F3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AF6C1F"/>
    <w:multiLevelType w:val="hybridMultilevel"/>
    <w:tmpl w:val="4AF4E388"/>
    <w:lvl w:ilvl="0" w:tplc="5B60CFC8">
      <w:start w:val="4"/>
      <w:numFmt w:val="decimal"/>
      <w:lvlText w:val="%1."/>
      <w:lvlJc w:val="left"/>
      <w:pPr>
        <w:tabs>
          <w:tab w:val="num" w:pos="720"/>
        </w:tabs>
        <w:ind w:left="720" w:hanging="360"/>
      </w:pPr>
    </w:lvl>
    <w:lvl w:ilvl="1" w:tplc="B058C160" w:tentative="1">
      <w:start w:val="1"/>
      <w:numFmt w:val="decimal"/>
      <w:lvlText w:val="%2."/>
      <w:lvlJc w:val="left"/>
      <w:pPr>
        <w:tabs>
          <w:tab w:val="num" w:pos="1440"/>
        </w:tabs>
        <w:ind w:left="1440" w:hanging="360"/>
      </w:pPr>
    </w:lvl>
    <w:lvl w:ilvl="2" w:tplc="2BE432EA" w:tentative="1">
      <w:start w:val="1"/>
      <w:numFmt w:val="decimal"/>
      <w:lvlText w:val="%3."/>
      <w:lvlJc w:val="left"/>
      <w:pPr>
        <w:tabs>
          <w:tab w:val="num" w:pos="2160"/>
        </w:tabs>
        <w:ind w:left="2160" w:hanging="360"/>
      </w:pPr>
    </w:lvl>
    <w:lvl w:ilvl="3" w:tplc="B5A88222" w:tentative="1">
      <w:start w:val="1"/>
      <w:numFmt w:val="decimal"/>
      <w:lvlText w:val="%4."/>
      <w:lvlJc w:val="left"/>
      <w:pPr>
        <w:tabs>
          <w:tab w:val="num" w:pos="2880"/>
        </w:tabs>
        <w:ind w:left="2880" w:hanging="360"/>
      </w:pPr>
    </w:lvl>
    <w:lvl w:ilvl="4" w:tplc="E79A8558" w:tentative="1">
      <w:start w:val="1"/>
      <w:numFmt w:val="decimal"/>
      <w:lvlText w:val="%5."/>
      <w:lvlJc w:val="left"/>
      <w:pPr>
        <w:tabs>
          <w:tab w:val="num" w:pos="3600"/>
        </w:tabs>
        <w:ind w:left="3600" w:hanging="360"/>
      </w:pPr>
    </w:lvl>
    <w:lvl w:ilvl="5" w:tplc="199E016E" w:tentative="1">
      <w:start w:val="1"/>
      <w:numFmt w:val="decimal"/>
      <w:lvlText w:val="%6."/>
      <w:lvlJc w:val="left"/>
      <w:pPr>
        <w:tabs>
          <w:tab w:val="num" w:pos="4320"/>
        </w:tabs>
        <w:ind w:left="4320" w:hanging="360"/>
      </w:pPr>
    </w:lvl>
    <w:lvl w:ilvl="6" w:tplc="454C072A" w:tentative="1">
      <w:start w:val="1"/>
      <w:numFmt w:val="decimal"/>
      <w:lvlText w:val="%7."/>
      <w:lvlJc w:val="left"/>
      <w:pPr>
        <w:tabs>
          <w:tab w:val="num" w:pos="5040"/>
        </w:tabs>
        <w:ind w:left="5040" w:hanging="360"/>
      </w:pPr>
    </w:lvl>
    <w:lvl w:ilvl="7" w:tplc="2CDA204A" w:tentative="1">
      <w:start w:val="1"/>
      <w:numFmt w:val="decimal"/>
      <w:lvlText w:val="%8."/>
      <w:lvlJc w:val="left"/>
      <w:pPr>
        <w:tabs>
          <w:tab w:val="num" w:pos="5760"/>
        </w:tabs>
        <w:ind w:left="5760" w:hanging="360"/>
      </w:pPr>
    </w:lvl>
    <w:lvl w:ilvl="8" w:tplc="13A28BEC" w:tentative="1">
      <w:start w:val="1"/>
      <w:numFmt w:val="decimal"/>
      <w:lvlText w:val="%9."/>
      <w:lvlJc w:val="left"/>
      <w:pPr>
        <w:tabs>
          <w:tab w:val="num" w:pos="6480"/>
        </w:tabs>
        <w:ind w:left="6480" w:hanging="360"/>
      </w:pPr>
    </w:lvl>
  </w:abstractNum>
  <w:abstractNum w:abstractNumId="2" w15:restartNumberingAfterBreak="0">
    <w:nsid w:val="12EA4D25"/>
    <w:multiLevelType w:val="hybridMultilevel"/>
    <w:tmpl w:val="6E8EB986"/>
    <w:lvl w:ilvl="0" w:tplc="D2BCEBA8">
      <w:start w:val="3"/>
      <w:numFmt w:val="decimal"/>
      <w:lvlText w:val="%1."/>
      <w:lvlJc w:val="left"/>
      <w:pPr>
        <w:tabs>
          <w:tab w:val="num" w:pos="720"/>
        </w:tabs>
        <w:ind w:left="720" w:hanging="360"/>
      </w:pPr>
    </w:lvl>
    <w:lvl w:ilvl="1" w:tplc="0AC0A526" w:tentative="1">
      <w:start w:val="1"/>
      <w:numFmt w:val="decimal"/>
      <w:lvlText w:val="%2."/>
      <w:lvlJc w:val="left"/>
      <w:pPr>
        <w:tabs>
          <w:tab w:val="num" w:pos="1440"/>
        </w:tabs>
        <w:ind w:left="1440" w:hanging="360"/>
      </w:pPr>
    </w:lvl>
    <w:lvl w:ilvl="2" w:tplc="47F87A94" w:tentative="1">
      <w:start w:val="1"/>
      <w:numFmt w:val="decimal"/>
      <w:lvlText w:val="%3."/>
      <w:lvlJc w:val="left"/>
      <w:pPr>
        <w:tabs>
          <w:tab w:val="num" w:pos="2160"/>
        </w:tabs>
        <w:ind w:left="2160" w:hanging="360"/>
      </w:pPr>
    </w:lvl>
    <w:lvl w:ilvl="3" w:tplc="EBC458F2" w:tentative="1">
      <w:start w:val="1"/>
      <w:numFmt w:val="decimal"/>
      <w:lvlText w:val="%4."/>
      <w:lvlJc w:val="left"/>
      <w:pPr>
        <w:tabs>
          <w:tab w:val="num" w:pos="2880"/>
        </w:tabs>
        <w:ind w:left="2880" w:hanging="360"/>
      </w:pPr>
    </w:lvl>
    <w:lvl w:ilvl="4" w:tplc="C50844BA" w:tentative="1">
      <w:start w:val="1"/>
      <w:numFmt w:val="decimal"/>
      <w:lvlText w:val="%5."/>
      <w:lvlJc w:val="left"/>
      <w:pPr>
        <w:tabs>
          <w:tab w:val="num" w:pos="3600"/>
        </w:tabs>
        <w:ind w:left="3600" w:hanging="360"/>
      </w:pPr>
    </w:lvl>
    <w:lvl w:ilvl="5" w:tplc="F078AA40" w:tentative="1">
      <w:start w:val="1"/>
      <w:numFmt w:val="decimal"/>
      <w:lvlText w:val="%6."/>
      <w:lvlJc w:val="left"/>
      <w:pPr>
        <w:tabs>
          <w:tab w:val="num" w:pos="4320"/>
        </w:tabs>
        <w:ind w:left="4320" w:hanging="360"/>
      </w:pPr>
    </w:lvl>
    <w:lvl w:ilvl="6" w:tplc="FDA8A744" w:tentative="1">
      <w:start w:val="1"/>
      <w:numFmt w:val="decimal"/>
      <w:lvlText w:val="%7."/>
      <w:lvlJc w:val="left"/>
      <w:pPr>
        <w:tabs>
          <w:tab w:val="num" w:pos="5040"/>
        </w:tabs>
        <w:ind w:left="5040" w:hanging="360"/>
      </w:pPr>
    </w:lvl>
    <w:lvl w:ilvl="7" w:tplc="4A2E3530" w:tentative="1">
      <w:start w:val="1"/>
      <w:numFmt w:val="decimal"/>
      <w:lvlText w:val="%8."/>
      <w:lvlJc w:val="left"/>
      <w:pPr>
        <w:tabs>
          <w:tab w:val="num" w:pos="5760"/>
        </w:tabs>
        <w:ind w:left="5760" w:hanging="360"/>
      </w:pPr>
    </w:lvl>
    <w:lvl w:ilvl="8" w:tplc="D3AE623E" w:tentative="1">
      <w:start w:val="1"/>
      <w:numFmt w:val="decimal"/>
      <w:lvlText w:val="%9."/>
      <w:lvlJc w:val="left"/>
      <w:pPr>
        <w:tabs>
          <w:tab w:val="num" w:pos="6480"/>
        </w:tabs>
        <w:ind w:left="6480" w:hanging="360"/>
      </w:pPr>
    </w:lvl>
  </w:abstractNum>
  <w:abstractNum w:abstractNumId="3" w15:restartNumberingAfterBreak="0">
    <w:nsid w:val="1A1C5A1C"/>
    <w:multiLevelType w:val="hybridMultilevel"/>
    <w:tmpl w:val="481CDD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09339E"/>
    <w:multiLevelType w:val="hybridMultilevel"/>
    <w:tmpl w:val="530423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DD7073"/>
    <w:multiLevelType w:val="hybridMultilevel"/>
    <w:tmpl w:val="98EC26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9D5554"/>
    <w:multiLevelType w:val="hybridMultilevel"/>
    <w:tmpl w:val="7786F3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16852769">
    <w:abstractNumId w:val="6"/>
  </w:num>
  <w:num w:numId="2" w16cid:durableId="1966691007">
    <w:abstractNumId w:val="3"/>
  </w:num>
  <w:num w:numId="3" w16cid:durableId="1404375064">
    <w:abstractNumId w:val="0"/>
  </w:num>
  <w:num w:numId="4" w16cid:durableId="622424852">
    <w:abstractNumId w:val="4"/>
  </w:num>
  <w:num w:numId="5" w16cid:durableId="772752209">
    <w:abstractNumId w:val="2"/>
  </w:num>
  <w:num w:numId="6" w16cid:durableId="980035748">
    <w:abstractNumId w:val="1"/>
  </w:num>
  <w:num w:numId="7" w16cid:durableId="9407934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DE5"/>
    <w:rsid w:val="000115DB"/>
    <w:rsid w:val="00021437"/>
    <w:rsid w:val="000829BB"/>
    <w:rsid w:val="000C5775"/>
    <w:rsid w:val="000D216E"/>
    <w:rsid w:val="000D2548"/>
    <w:rsid w:val="000F2394"/>
    <w:rsid w:val="002620F9"/>
    <w:rsid w:val="00315DE5"/>
    <w:rsid w:val="003658D9"/>
    <w:rsid w:val="0042273E"/>
    <w:rsid w:val="00492665"/>
    <w:rsid w:val="004C0974"/>
    <w:rsid w:val="004D28E2"/>
    <w:rsid w:val="005D3BEE"/>
    <w:rsid w:val="005D4C4B"/>
    <w:rsid w:val="00624EA0"/>
    <w:rsid w:val="00670945"/>
    <w:rsid w:val="007E1E56"/>
    <w:rsid w:val="00811DAC"/>
    <w:rsid w:val="00823022"/>
    <w:rsid w:val="008364E6"/>
    <w:rsid w:val="008A4C4A"/>
    <w:rsid w:val="00974910"/>
    <w:rsid w:val="009828B4"/>
    <w:rsid w:val="00997955"/>
    <w:rsid w:val="009A11E3"/>
    <w:rsid w:val="009E0983"/>
    <w:rsid w:val="00A04E95"/>
    <w:rsid w:val="00A402E9"/>
    <w:rsid w:val="00AC3F63"/>
    <w:rsid w:val="00AD1863"/>
    <w:rsid w:val="00AF4832"/>
    <w:rsid w:val="00B77912"/>
    <w:rsid w:val="00BA79BC"/>
    <w:rsid w:val="00BC7D27"/>
    <w:rsid w:val="00D26A39"/>
    <w:rsid w:val="00D7064B"/>
    <w:rsid w:val="00D9572D"/>
    <w:rsid w:val="00DD4232"/>
    <w:rsid w:val="00F03B97"/>
    <w:rsid w:val="00F83BED"/>
    <w:rsid w:val="00FF0A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D71DD"/>
  <w15:chartTrackingRefBased/>
  <w15:docId w15:val="{E1726BCE-0286-40CB-82D6-7672F17CE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D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5D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5D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5D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5D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5D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5D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5D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5D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D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5D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5D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5D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5D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5D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5D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5D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5DE5"/>
    <w:rPr>
      <w:rFonts w:eastAsiaTheme="majorEastAsia" w:cstheme="majorBidi"/>
      <w:color w:val="272727" w:themeColor="text1" w:themeTint="D8"/>
    </w:rPr>
  </w:style>
  <w:style w:type="paragraph" w:styleId="Title">
    <w:name w:val="Title"/>
    <w:basedOn w:val="Normal"/>
    <w:next w:val="Normal"/>
    <w:link w:val="TitleChar"/>
    <w:uiPriority w:val="10"/>
    <w:qFormat/>
    <w:rsid w:val="00315D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D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D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D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DE5"/>
    <w:pPr>
      <w:spacing w:before="160"/>
      <w:jc w:val="center"/>
    </w:pPr>
    <w:rPr>
      <w:i/>
      <w:iCs/>
      <w:color w:val="404040" w:themeColor="text1" w:themeTint="BF"/>
    </w:rPr>
  </w:style>
  <w:style w:type="character" w:customStyle="1" w:styleId="QuoteChar">
    <w:name w:val="Quote Char"/>
    <w:basedOn w:val="DefaultParagraphFont"/>
    <w:link w:val="Quote"/>
    <w:uiPriority w:val="29"/>
    <w:rsid w:val="00315DE5"/>
    <w:rPr>
      <w:i/>
      <w:iCs/>
      <w:color w:val="404040" w:themeColor="text1" w:themeTint="BF"/>
    </w:rPr>
  </w:style>
  <w:style w:type="paragraph" w:styleId="ListParagraph">
    <w:name w:val="List Paragraph"/>
    <w:basedOn w:val="Normal"/>
    <w:uiPriority w:val="34"/>
    <w:qFormat/>
    <w:rsid w:val="00315DE5"/>
    <w:pPr>
      <w:ind w:left="720"/>
      <w:contextualSpacing/>
    </w:pPr>
  </w:style>
  <w:style w:type="character" w:styleId="IntenseEmphasis">
    <w:name w:val="Intense Emphasis"/>
    <w:basedOn w:val="DefaultParagraphFont"/>
    <w:uiPriority w:val="21"/>
    <w:qFormat/>
    <w:rsid w:val="00315DE5"/>
    <w:rPr>
      <w:i/>
      <w:iCs/>
      <w:color w:val="0F4761" w:themeColor="accent1" w:themeShade="BF"/>
    </w:rPr>
  </w:style>
  <w:style w:type="paragraph" w:styleId="IntenseQuote">
    <w:name w:val="Intense Quote"/>
    <w:basedOn w:val="Normal"/>
    <w:next w:val="Normal"/>
    <w:link w:val="IntenseQuoteChar"/>
    <w:uiPriority w:val="30"/>
    <w:qFormat/>
    <w:rsid w:val="00315D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5DE5"/>
    <w:rPr>
      <w:i/>
      <w:iCs/>
      <w:color w:val="0F4761" w:themeColor="accent1" w:themeShade="BF"/>
    </w:rPr>
  </w:style>
  <w:style w:type="character" w:styleId="IntenseReference">
    <w:name w:val="Intense Reference"/>
    <w:basedOn w:val="DefaultParagraphFont"/>
    <w:uiPriority w:val="32"/>
    <w:qFormat/>
    <w:rsid w:val="00315DE5"/>
    <w:rPr>
      <w:b/>
      <w:bCs/>
      <w:smallCaps/>
      <w:color w:val="0F4761" w:themeColor="accent1" w:themeShade="BF"/>
      <w:spacing w:val="5"/>
    </w:rPr>
  </w:style>
  <w:style w:type="character" w:styleId="Hyperlink">
    <w:name w:val="Hyperlink"/>
    <w:basedOn w:val="DefaultParagraphFont"/>
    <w:uiPriority w:val="99"/>
    <w:unhideWhenUsed/>
    <w:rsid w:val="00315DE5"/>
    <w:rPr>
      <w:color w:val="467886" w:themeColor="hyperlink"/>
      <w:u w:val="single"/>
    </w:rPr>
  </w:style>
  <w:style w:type="character" w:styleId="UnresolvedMention">
    <w:name w:val="Unresolved Mention"/>
    <w:basedOn w:val="DefaultParagraphFont"/>
    <w:uiPriority w:val="99"/>
    <w:semiHidden/>
    <w:unhideWhenUsed/>
    <w:rsid w:val="00315DE5"/>
    <w:rPr>
      <w:color w:val="605E5C"/>
      <w:shd w:val="clear" w:color="auto" w:fill="E1DFDD"/>
    </w:rPr>
  </w:style>
  <w:style w:type="table" w:styleId="TableGrid">
    <w:name w:val="Table Grid"/>
    <w:basedOn w:val="TableNormal"/>
    <w:uiPriority w:val="39"/>
    <w:rsid w:val="00492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52612">
      <w:bodyDiv w:val="1"/>
      <w:marLeft w:val="0"/>
      <w:marRight w:val="0"/>
      <w:marTop w:val="0"/>
      <w:marBottom w:val="0"/>
      <w:divBdr>
        <w:top w:val="none" w:sz="0" w:space="0" w:color="auto"/>
        <w:left w:val="none" w:sz="0" w:space="0" w:color="auto"/>
        <w:bottom w:val="none" w:sz="0" w:space="0" w:color="auto"/>
        <w:right w:val="none" w:sz="0" w:space="0" w:color="auto"/>
      </w:divBdr>
    </w:div>
    <w:div w:id="396512499">
      <w:bodyDiv w:val="1"/>
      <w:marLeft w:val="0"/>
      <w:marRight w:val="0"/>
      <w:marTop w:val="0"/>
      <w:marBottom w:val="0"/>
      <w:divBdr>
        <w:top w:val="none" w:sz="0" w:space="0" w:color="auto"/>
        <w:left w:val="none" w:sz="0" w:space="0" w:color="auto"/>
        <w:bottom w:val="none" w:sz="0" w:space="0" w:color="auto"/>
        <w:right w:val="none" w:sz="0" w:space="0" w:color="auto"/>
      </w:divBdr>
    </w:div>
    <w:div w:id="800080321">
      <w:bodyDiv w:val="1"/>
      <w:marLeft w:val="0"/>
      <w:marRight w:val="0"/>
      <w:marTop w:val="0"/>
      <w:marBottom w:val="0"/>
      <w:divBdr>
        <w:top w:val="none" w:sz="0" w:space="0" w:color="auto"/>
        <w:left w:val="none" w:sz="0" w:space="0" w:color="auto"/>
        <w:bottom w:val="none" w:sz="0" w:space="0" w:color="auto"/>
        <w:right w:val="none" w:sz="0" w:space="0" w:color="auto"/>
      </w:divBdr>
    </w:div>
    <w:div w:id="825441060">
      <w:bodyDiv w:val="1"/>
      <w:marLeft w:val="0"/>
      <w:marRight w:val="0"/>
      <w:marTop w:val="0"/>
      <w:marBottom w:val="0"/>
      <w:divBdr>
        <w:top w:val="none" w:sz="0" w:space="0" w:color="auto"/>
        <w:left w:val="none" w:sz="0" w:space="0" w:color="auto"/>
        <w:bottom w:val="none" w:sz="0" w:space="0" w:color="auto"/>
        <w:right w:val="none" w:sz="0" w:space="0" w:color="auto"/>
      </w:divBdr>
      <w:divsChild>
        <w:div w:id="813526548">
          <w:marLeft w:val="547"/>
          <w:marRight w:val="0"/>
          <w:marTop w:val="200"/>
          <w:marBottom w:val="160"/>
          <w:divBdr>
            <w:top w:val="none" w:sz="0" w:space="0" w:color="auto"/>
            <w:left w:val="none" w:sz="0" w:space="0" w:color="auto"/>
            <w:bottom w:val="none" w:sz="0" w:space="0" w:color="auto"/>
            <w:right w:val="none" w:sz="0" w:space="0" w:color="auto"/>
          </w:divBdr>
        </w:div>
      </w:divsChild>
    </w:div>
    <w:div w:id="1045912367">
      <w:bodyDiv w:val="1"/>
      <w:marLeft w:val="0"/>
      <w:marRight w:val="0"/>
      <w:marTop w:val="0"/>
      <w:marBottom w:val="0"/>
      <w:divBdr>
        <w:top w:val="none" w:sz="0" w:space="0" w:color="auto"/>
        <w:left w:val="none" w:sz="0" w:space="0" w:color="auto"/>
        <w:bottom w:val="none" w:sz="0" w:space="0" w:color="auto"/>
        <w:right w:val="none" w:sz="0" w:space="0" w:color="auto"/>
      </w:divBdr>
    </w:div>
    <w:div w:id="1203786639">
      <w:bodyDiv w:val="1"/>
      <w:marLeft w:val="0"/>
      <w:marRight w:val="0"/>
      <w:marTop w:val="0"/>
      <w:marBottom w:val="0"/>
      <w:divBdr>
        <w:top w:val="none" w:sz="0" w:space="0" w:color="auto"/>
        <w:left w:val="none" w:sz="0" w:space="0" w:color="auto"/>
        <w:bottom w:val="none" w:sz="0" w:space="0" w:color="auto"/>
        <w:right w:val="none" w:sz="0" w:space="0" w:color="auto"/>
      </w:divBdr>
    </w:div>
    <w:div w:id="2133015200">
      <w:bodyDiv w:val="1"/>
      <w:marLeft w:val="0"/>
      <w:marRight w:val="0"/>
      <w:marTop w:val="0"/>
      <w:marBottom w:val="0"/>
      <w:divBdr>
        <w:top w:val="none" w:sz="0" w:space="0" w:color="auto"/>
        <w:left w:val="none" w:sz="0" w:space="0" w:color="auto"/>
        <w:bottom w:val="none" w:sz="0" w:space="0" w:color="auto"/>
        <w:right w:val="none" w:sz="0" w:space="0" w:color="auto"/>
      </w:divBdr>
      <w:divsChild>
        <w:div w:id="914434631">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hyperlink" Target="https://www.kaggle.com/datasets/mexwell/dvm-car" TargetMode="Externa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iera\Documents\Life\Analytics\sales_by_type.csv"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embeddings/oleObject3.bin"/><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embeddings/oleObject4.bin"/><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sz="1800"/>
              <a:t>Sales Volume Growth vs New Releases</a:t>
            </a:r>
          </a:p>
        </c:rich>
      </c:tx>
      <c:overlay val="0"/>
      <c:spPr>
        <a:noFill/>
        <a:ln>
          <a:noFill/>
        </a:ln>
        <a:effectLst/>
      </c:spPr>
    </c:title>
    <c:autoTitleDeleted val="0"/>
    <c:plotArea>
      <c:layout/>
      <c:bubbleChart>
        <c:varyColors val="1"/>
        <c:ser>
          <c:idx val="0"/>
          <c:order val="0"/>
          <c:tx>
            <c:v>Sales Volume Growth vs New Releases</c:v>
          </c:tx>
          <c:invertIfNegative val="0"/>
          <c:dPt>
            <c:idx val="0"/>
            <c:invertIfNegative val="0"/>
            <c:bubble3D val="0"/>
            <c:spPr>
              <a:pattFill prst="ltUpDiag">
                <a:fgClr>
                  <a:schemeClr val="accent1"/>
                </a:fgClr>
                <a:bgClr>
                  <a:schemeClr val="accent1">
                    <a:lumMod val="20000"/>
                    <a:lumOff val="80000"/>
                  </a:schemeClr>
                </a:bgClr>
              </a:pattFill>
              <a:ln w="9525" cap="flat" cmpd="sng" algn="ctr">
                <a:solidFill>
                  <a:schemeClr val="accent1">
                    <a:alpha val="75000"/>
                  </a:schemeClr>
                </a:solidFill>
              </a:ln>
              <a:effectLst>
                <a:innerShdw blurRad="114300">
                  <a:schemeClr val="accent1">
                    <a:alpha val="70000"/>
                  </a:schemeClr>
                </a:innerShdw>
              </a:effectLst>
            </c:spPr>
            <c:extLst>
              <c:ext xmlns:c16="http://schemas.microsoft.com/office/drawing/2014/chart" uri="{C3380CC4-5D6E-409C-BE32-E72D297353CC}">
                <c16:uniqueId val="{00000001-6B16-4F58-8A51-16A42D95A5B3}"/>
              </c:ext>
            </c:extLst>
          </c:dPt>
          <c:dPt>
            <c:idx val="1"/>
            <c:invertIfNegative val="0"/>
            <c:bubble3D val="0"/>
            <c:spPr>
              <a:pattFill prst="ltUpDiag">
                <a:fgClr>
                  <a:schemeClr val="accent2"/>
                </a:fgClr>
                <a:bgClr>
                  <a:schemeClr val="accent2">
                    <a:lumMod val="20000"/>
                    <a:lumOff val="80000"/>
                  </a:schemeClr>
                </a:bgClr>
              </a:pattFill>
              <a:ln w="9525" cap="flat" cmpd="sng" algn="ctr">
                <a:solidFill>
                  <a:schemeClr val="accent2">
                    <a:alpha val="75000"/>
                  </a:schemeClr>
                </a:solidFill>
              </a:ln>
              <a:effectLst>
                <a:innerShdw blurRad="114300">
                  <a:schemeClr val="accent2">
                    <a:alpha val="70000"/>
                  </a:schemeClr>
                </a:innerShdw>
              </a:effectLst>
            </c:spPr>
            <c:extLst>
              <c:ext xmlns:c16="http://schemas.microsoft.com/office/drawing/2014/chart" uri="{C3380CC4-5D6E-409C-BE32-E72D297353CC}">
                <c16:uniqueId val="{00000003-6B16-4F58-8A51-16A42D95A5B3}"/>
              </c:ext>
            </c:extLst>
          </c:dPt>
          <c:dPt>
            <c:idx val="2"/>
            <c:invertIfNegative val="0"/>
            <c:bubble3D val="0"/>
            <c:spPr>
              <a:pattFill prst="ltUpDiag">
                <a:fgClr>
                  <a:schemeClr val="accent3"/>
                </a:fgClr>
                <a:bgClr>
                  <a:schemeClr val="accent3">
                    <a:lumMod val="20000"/>
                    <a:lumOff val="80000"/>
                  </a:schemeClr>
                </a:bgClr>
              </a:pattFill>
              <a:ln w="9525" cap="flat" cmpd="sng" algn="ctr">
                <a:solidFill>
                  <a:schemeClr val="accent3">
                    <a:alpha val="75000"/>
                  </a:schemeClr>
                </a:solidFill>
              </a:ln>
              <a:effectLst>
                <a:innerShdw blurRad="114300">
                  <a:schemeClr val="accent3">
                    <a:alpha val="70000"/>
                  </a:schemeClr>
                </a:innerShdw>
              </a:effectLst>
            </c:spPr>
            <c:extLst>
              <c:ext xmlns:c16="http://schemas.microsoft.com/office/drawing/2014/chart" uri="{C3380CC4-5D6E-409C-BE32-E72D297353CC}">
                <c16:uniqueId val="{00000005-6B16-4F58-8A51-16A42D95A5B3}"/>
              </c:ext>
            </c:extLst>
          </c:dPt>
          <c:dPt>
            <c:idx val="3"/>
            <c:invertIfNegative val="0"/>
            <c:bubble3D val="0"/>
            <c:spPr>
              <a:pattFill prst="ltUpDiag">
                <a:fgClr>
                  <a:schemeClr val="accent4"/>
                </a:fgClr>
                <a:bgClr>
                  <a:schemeClr val="accent4">
                    <a:lumMod val="20000"/>
                    <a:lumOff val="80000"/>
                  </a:schemeClr>
                </a:bgClr>
              </a:pattFill>
              <a:ln w="9525" cap="flat" cmpd="sng" algn="ctr">
                <a:solidFill>
                  <a:schemeClr val="accent4">
                    <a:alpha val="75000"/>
                  </a:schemeClr>
                </a:solidFill>
              </a:ln>
              <a:effectLst>
                <a:innerShdw blurRad="114300">
                  <a:schemeClr val="accent4">
                    <a:alpha val="70000"/>
                  </a:schemeClr>
                </a:innerShdw>
              </a:effectLst>
            </c:spPr>
            <c:extLst>
              <c:ext xmlns:c16="http://schemas.microsoft.com/office/drawing/2014/chart" uri="{C3380CC4-5D6E-409C-BE32-E72D297353CC}">
                <c16:uniqueId val="{00000007-6B16-4F58-8A51-16A42D95A5B3}"/>
              </c:ext>
            </c:extLst>
          </c:dPt>
          <c:dPt>
            <c:idx val="4"/>
            <c:invertIfNegative val="0"/>
            <c:bubble3D val="0"/>
            <c:spPr>
              <a:pattFill prst="ltUpDiag">
                <a:fgClr>
                  <a:schemeClr val="accent5"/>
                </a:fgClr>
                <a:bgClr>
                  <a:schemeClr val="accent5">
                    <a:lumMod val="20000"/>
                    <a:lumOff val="80000"/>
                  </a:schemeClr>
                </a:bgClr>
              </a:pattFill>
              <a:ln w="9525" cap="flat" cmpd="sng" algn="ctr">
                <a:solidFill>
                  <a:schemeClr val="accent5">
                    <a:alpha val="75000"/>
                  </a:schemeClr>
                </a:solidFill>
              </a:ln>
              <a:effectLst>
                <a:innerShdw blurRad="114300">
                  <a:schemeClr val="accent5">
                    <a:alpha val="70000"/>
                  </a:schemeClr>
                </a:innerShdw>
              </a:effectLst>
            </c:spPr>
            <c:extLst>
              <c:ext xmlns:c16="http://schemas.microsoft.com/office/drawing/2014/chart" uri="{C3380CC4-5D6E-409C-BE32-E72D297353CC}">
                <c16:uniqueId val="{00000009-6B16-4F58-8A51-16A42D95A5B3}"/>
              </c:ext>
            </c:extLst>
          </c:dPt>
          <c:dPt>
            <c:idx val="5"/>
            <c:invertIfNegative val="0"/>
            <c:bubble3D val="0"/>
            <c:spPr>
              <a:pattFill prst="ltUpDiag">
                <a:fgClr>
                  <a:schemeClr val="accent6"/>
                </a:fgClr>
                <a:bgClr>
                  <a:schemeClr val="accent6">
                    <a:lumMod val="20000"/>
                    <a:lumOff val="80000"/>
                  </a:schemeClr>
                </a:bgClr>
              </a:pattFill>
              <a:ln w="9525" cap="flat" cmpd="sng" algn="ctr">
                <a:solidFill>
                  <a:schemeClr val="accent6">
                    <a:alpha val="75000"/>
                  </a:schemeClr>
                </a:solidFill>
              </a:ln>
              <a:effectLst>
                <a:innerShdw blurRad="114300">
                  <a:schemeClr val="accent6">
                    <a:alpha val="70000"/>
                  </a:schemeClr>
                </a:innerShdw>
              </a:effectLst>
            </c:spPr>
            <c:extLst>
              <c:ext xmlns:c16="http://schemas.microsoft.com/office/drawing/2014/chart" uri="{C3380CC4-5D6E-409C-BE32-E72D297353CC}">
                <c16:uniqueId val="{0000000B-6B16-4F58-8A51-16A42D95A5B3}"/>
              </c:ext>
            </c:extLst>
          </c:dPt>
          <c:dPt>
            <c:idx val="6"/>
            <c:invertIfNegative val="0"/>
            <c:bubble3D val="0"/>
            <c:spPr>
              <a:pattFill prst="ltUpDiag">
                <a:fgClr>
                  <a:schemeClr val="accent1">
                    <a:lumMod val="60000"/>
                  </a:schemeClr>
                </a:fgClr>
                <a:bgClr>
                  <a:schemeClr val="accent1">
                    <a:lumMod val="60000"/>
                    <a:lumMod val="20000"/>
                    <a:lumOff val="80000"/>
                  </a:schemeClr>
                </a:bgClr>
              </a:pattFill>
              <a:ln w="9525" cap="flat" cmpd="sng" algn="ctr">
                <a:solidFill>
                  <a:schemeClr val="accent1">
                    <a:lumMod val="60000"/>
                    <a:alpha val="75000"/>
                  </a:schemeClr>
                </a:solidFill>
              </a:ln>
              <a:effectLst>
                <a:innerShdw blurRad="114300">
                  <a:schemeClr val="accent1">
                    <a:lumMod val="60000"/>
                    <a:alpha val="70000"/>
                  </a:schemeClr>
                </a:innerShdw>
              </a:effectLst>
            </c:spPr>
            <c:extLst>
              <c:ext xmlns:c16="http://schemas.microsoft.com/office/drawing/2014/chart" uri="{C3380CC4-5D6E-409C-BE32-E72D297353CC}">
                <c16:uniqueId val="{0000000D-6B16-4F58-8A51-16A42D95A5B3}"/>
              </c:ext>
            </c:extLst>
          </c:dPt>
          <c:dPt>
            <c:idx val="7"/>
            <c:invertIfNegative val="0"/>
            <c:bubble3D val="0"/>
            <c:spPr>
              <a:pattFill prst="ltUpDiag">
                <a:fgClr>
                  <a:schemeClr val="accent2">
                    <a:lumMod val="60000"/>
                  </a:schemeClr>
                </a:fgClr>
                <a:bgClr>
                  <a:schemeClr val="accent2">
                    <a:lumMod val="60000"/>
                    <a:lumMod val="20000"/>
                    <a:lumOff val="80000"/>
                  </a:schemeClr>
                </a:bgClr>
              </a:pattFill>
              <a:ln w="9525" cap="flat" cmpd="sng" algn="ctr">
                <a:solidFill>
                  <a:schemeClr val="accent2">
                    <a:lumMod val="60000"/>
                    <a:alpha val="75000"/>
                  </a:schemeClr>
                </a:solidFill>
              </a:ln>
              <a:effectLst>
                <a:innerShdw blurRad="114300">
                  <a:schemeClr val="accent2">
                    <a:lumMod val="60000"/>
                    <a:alpha val="70000"/>
                  </a:schemeClr>
                </a:innerShdw>
              </a:effectLst>
            </c:spPr>
            <c:extLst>
              <c:ext xmlns:c16="http://schemas.microsoft.com/office/drawing/2014/chart" uri="{C3380CC4-5D6E-409C-BE32-E72D297353CC}">
                <c16:uniqueId val="{0000000F-6B16-4F58-8A51-16A42D95A5B3}"/>
              </c:ext>
            </c:extLst>
          </c:dPt>
          <c:dPt>
            <c:idx val="8"/>
            <c:invertIfNegative val="0"/>
            <c:bubble3D val="0"/>
            <c:spPr>
              <a:pattFill prst="ltUpDiag">
                <a:fgClr>
                  <a:schemeClr val="accent3">
                    <a:lumMod val="60000"/>
                  </a:schemeClr>
                </a:fgClr>
                <a:bgClr>
                  <a:schemeClr val="accent3">
                    <a:lumMod val="60000"/>
                    <a:lumMod val="20000"/>
                    <a:lumOff val="80000"/>
                  </a:schemeClr>
                </a:bgClr>
              </a:pattFill>
              <a:ln w="9525" cap="flat" cmpd="sng" algn="ctr">
                <a:solidFill>
                  <a:schemeClr val="accent3">
                    <a:lumMod val="60000"/>
                    <a:alpha val="75000"/>
                  </a:schemeClr>
                </a:solidFill>
              </a:ln>
              <a:effectLst>
                <a:innerShdw blurRad="114300">
                  <a:schemeClr val="accent3">
                    <a:lumMod val="60000"/>
                    <a:alpha val="70000"/>
                  </a:schemeClr>
                </a:innerShdw>
              </a:effectLst>
            </c:spPr>
            <c:extLst>
              <c:ext xmlns:c16="http://schemas.microsoft.com/office/drawing/2014/chart" uri="{C3380CC4-5D6E-409C-BE32-E72D297353CC}">
                <c16:uniqueId val="{00000011-6B16-4F58-8A51-16A42D95A5B3}"/>
              </c:ext>
            </c:extLst>
          </c:dPt>
          <c:dPt>
            <c:idx val="9"/>
            <c:invertIfNegative val="0"/>
            <c:bubble3D val="0"/>
            <c:spPr>
              <a:pattFill prst="ltUpDiag">
                <a:fgClr>
                  <a:schemeClr val="accent4">
                    <a:lumMod val="60000"/>
                  </a:schemeClr>
                </a:fgClr>
                <a:bgClr>
                  <a:schemeClr val="accent4">
                    <a:lumMod val="60000"/>
                    <a:lumMod val="20000"/>
                    <a:lumOff val="80000"/>
                  </a:schemeClr>
                </a:bgClr>
              </a:pattFill>
              <a:ln w="9525" cap="flat" cmpd="sng" algn="ctr">
                <a:solidFill>
                  <a:schemeClr val="accent4">
                    <a:lumMod val="60000"/>
                    <a:alpha val="75000"/>
                  </a:schemeClr>
                </a:solidFill>
              </a:ln>
              <a:effectLst>
                <a:innerShdw blurRad="114300">
                  <a:schemeClr val="accent4">
                    <a:lumMod val="60000"/>
                    <a:alpha val="70000"/>
                  </a:schemeClr>
                </a:innerShdw>
              </a:effectLst>
            </c:spPr>
            <c:extLst>
              <c:ext xmlns:c16="http://schemas.microsoft.com/office/drawing/2014/chart" uri="{C3380CC4-5D6E-409C-BE32-E72D297353CC}">
                <c16:uniqueId val="{00000013-6B16-4F58-8A51-16A42D95A5B3}"/>
              </c:ext>
            </c:extLst>
          </c:dPt>
          <c:dPt>
            <c:idx val="10"/>
            <c:invertIfNegative val="0"/>
            <c:bubble3D val="0"/>
            <c:spPr>
              <a:pattFill prst="ltUpDiag">
                <a:fgClr>
                  <a:schemeClr val="accent5">
                    <a:lumMod val="60000"/>
                  </a:schemeClr>
                </a:fgClr>
                <a:bgClr>
                  <a:schemeClr val="accent5">
                    <a:lumMod val="60000"/>
                    <a:lumMod val="20000"/>
                    <a:lumOff val="80000"/>
                  </a:schemeClr>
                </a:bgClr>
              </a:pattFill>
              <a:ln w="9525" cap="flat" cmpd="sng" algn="ctr">
                <a:solidFill>
                  <a:schemeClr val="accent5">
                    <a:lumMod val="60000"/>
                    <a:alpha val="75000"/>
                  </a:schemeClr>
                </a:solidFill>
              </a:ln>
              <a:effectLst>
                <a:innerShdw blurRad="114300">
                  <a:schemeClr val="accent5">
                    <a:lumMod val="60000"/>
                    <a:alpha val="70000"/>
                  </a:schemeClr>
                </a:innerShdw>
              </a:effectLst>
            </c:spPr>
            <c:extLst>
              <c:ext xmlns:c16="http://schemas.microsoft.com/office/drawing/2014/chart" uri="{C3380CC4-5D6E-409C-BE32-E72D297353CC}">
                <c16:uniqueId val="{00000015-6B16-4F58-8A51-16A42D95A5B3}"/>
              </c:ext>
            </c:extLst>
          </c:dPt>
          <c:dPt>
            <c:idx val="11"/>
            <c:invertIfNegative val="0"/>
            <c:bubble3D val="0"/>
            <c:spPr>
              <a:pattFill prst="ltUpDiag">
                <a:fgClr>
                  <a:schemeClr val="accent6">
                    <a:lumMod val="60000"/>
                  </a:schemeClr>
                </a:fgClr>
                <a:bgClr>
                  <a:schemeClr val="accent6">
                    <a:lumMod val="60000"/>
                    <a:lumMod val="20000"/>
                    <a:lumOff val="80000"/>
                  </a:schemeClr>
                </a:bgClr>
              </a:pattFill>
              <a:ln w="9525" cap="flat" cmpd="sng" algn="ctr">
                <a:solidFill>
                  <a:schemeClr val="accent6">
                    <a:lumMod val="60000"/>
                    <a:alpha val="75000"/>
                  </a:schemeClr>
                </a:solidFill>
              </a:ln>
              <a:effectLst>
                <a:innerShdw blurRad="114300">
                  <a:schemeClr val="accent6">
                    <a:lumMod val="60000"/>
                    <a:alpha val="70000"/>
                  </a:schemeClr>
                </a:innerShdw>
              </a:effectLst>
            </c:spPr>
            <c:extLst>
              <c:ext xmlns:c16="http://schemas.microsoft.com/office/drawing/2014/chart" uri="{C3380CC4-5D6E-409C-BE32-E72D297353CC}">
                <c16:uniqueId val="{00000017-6B16-4F58-8A51-16A42D95A5B3}"/>
              </c:ext>
            </c:extLst>
          </c:dPt>
          <c:dPt>
            <c:idx val="12"/>
            <c:invertIfNegative val="0"/>
            <c:bubble3D val="0"/>
            <c:spPr>
              <a:pattFill prst="ltUpDiag">
                <a:fgClr>
                  <a:schemeClr val="accent1">
                    <a:lumMod val="80000"/>
                    <a:lumOff val="20000"/>
                  </a:schemeClr>
                </a:fgClr>
                <a:bgClr>
                  <a:schemeClr val="accent1">
                    <a:lumMod val="80000"/>
                    <a:lumOff val="20000"/>
                    <a:lumMod val="20000"/>
                    <a:lumOff val="80000"/>
                  </a:schemeClr>
                </a:bgClr>
              </a:pattFill>
              <a:ln w="9525" cap="flat" cmpd="sng" algn="ctr">
                <a:solidFill>
                  <a:schemeClr val="accent1">
                    <a:lumMod val="80000"/>
                    <a:lumOff val="20000"/>
                    <a:alpha val="75000"/>
                  </a:schemeClr>
                </a:solidFill>
              </a:ln>
              <a:effectLst>
                <a:innerShdw blurRad="114300">
                  <a:schemeClr val="accent1">
                    <a:lumMod val="80000"/>
                    <a:lumOff val="20000"/>
                    <a:alpha val="70000"/>
                  </a:schemeClr>
                </a:innerShdw>
              </a:effectLst>
            </c:spPr>
            <c:extLst>
              <c:ext xmlns:c16="http://schemas.microsoft.com/office/drawing/2014/chart" uri="{C3380CC4-5D6E-409C-BE32-E72D297353CC}">
                <c16:uniqueId val="{00000019-6B16-4F58-8A51-16A42D95A5B3}"/>
              </c:ext>
            </c:extLst>
          </c:dPt>
          <c:dPt>
            <c:idx val="13"/>
            <c:invertIfNegative val="0"/>
            <c:bubble3D val="0"/>
            <c:spPr>
              <a:pattFill prst="ltUpDiag">
                <a:fgClr>
                  <a:schemeClr val="accent2">
                    <a:lumMod val="80000"/>
                    <a:lumOff val="20000"/>
                  </a:schemeClr>
                </a:fgClr>
                <a:bgClr>
                  <a:schemeClr val="accent2">
                    <a:lumMod val="80000"/>
                    <a:lumOff val="20000"/>
                    <a:lumMod val="20000"/>
                    <a:lumOff val="80000"/>
                  </a:schemeClr>
                </a:bgClr>
              </a:pattFill>
              <a:ln w="9525" cap="flat" cmpd="sng" algn="ctr">
                <a:solidFill>
                  <a:schemeClr val="accent2">
                    <a:lumMod val="80000"/>
                    <a:lumOff val="20000"/>
                    <a:alpha val="75000"/>
                  </a:schemeClr>
                </a:solidFill>
              </a:ln>
              <a:effectLst>
                <a:innerShdw blurRad="114300">
                  <a:schemeClr val="accent2">
                    <a:lumMod val="80000"/>
                    <a:lumOff val="20000"/>
                    <a:alpha val="70000"/>
                  </a:schemeClr>
                </a:innerShdw>
              </a:effectLst>
            </c:spPr>
            <c:extLst>
              <c:ext xmlns:c16="http://schemas.microsoft.com/office/drawing/2014/chart" uri="{C3380CC4-5D6E-409C-BE32-E72D297353CC}">
                <c16:uniqueId val="{0000001B-6B16-4F58-8A51-16A42D95A5B3}"/>
              </c:ext>
            </c:extLst>
          </c:dPt>
          <c:dPt>
            <c:idx val="14"/>
            <c:invertIfNegative val="0"/>
            <c:bubble3D val="0"/>
            <c:spPr>
              <a:pattFill prst="ltUpDiag">
                <a:fgClr>
                  <a:schemeClr val="accent3">
                    <a:lumMod val="80000"/>
                    <a:lumOff val="20000"/>
                  </a:schemeClr>
                </a:fgClr>
                <a:bgClr>
                  <a:schemeClr val="accent3">
                    <a:lumMod val="80000"/>
                    <a:lumOff val="20000"/>
                    <a:lumMod val="20000"/>
                    <a:lumOff val="80000"/>
                  </a:schemeClr>
                </a:bgClr>
              </a:pattFill>
              <a:ln w="9525" cap="flat" cmpd="sng" algn="ctr">
                <a:solidFill>
                  <a:schemeClr val="accent3">
                    <a:lumMod val="80000"/>
                    <a:lumOff val="20000"/>
                    <a:alpha val="75000"/>
                  </a:schemeClr>
                </a:solidFill>
              </a:ln>
              <a:effectLst>
                <a:innerShdw blurRad="114300">
                  <a:schemeClr val="accent3">
                    <a:lumMod val="80000"/>
                    <a:lumOff val="20000"/>
                    <a:alpha val="70000"/>
                  </a:schemeClr>
                </a:innerShdw>
              </a:effectLst>
            </c:spPr>
            <c:extLst>
              <c:ext xmlns:c16="http://schemas.microsoft.com/office/drawing/2014/chart" uri="{C3380CC4-5D6E-409C-BE32-E72D297353CC}">
                <c16:uniqueId val="{0000001D-6B16-4F58-8A51-16A42D95A5B3}"/>
              </c:ext>
            </c:extLst>
          </c:dPt>
          <c:dPt>
            <c:idx val="15"/>
            <c:invertIfNegative val="0"/>
            <c:bubble3D val="0"/>
            <c:spPr>
              <a:pattFill prst="ltUpDiag">
                <a:fgClr>
                  <a:schemeClr val="accent4">
                    <a:lumMod val="80000"/>
                    <a:lumOff val="20000"/>
                  </a:schemeClr>
                </a:fgClr>
                <a:bgClr>
                  <a:schemeClr val="accent4">
                    <a:lumMod val="80000"/>
                    <a:lumOff val="20000"/>
                    <a:lumMod val="20000"/>
                    <a:lumOff val="80000"/>
                  </a:schemeClr>
                </a:bgClr>
              </a:pattFill>
              <a:ln w="9525" cap="flat" cmpd="sng" algn="ctr">
                <a:solidFill>
                  <a:schemeClr val="accent4">
                    <a:lumMod val="80000"/>
                    <a:lumOff val="20000"/>
                    <a:alpha val="75000"/>
                  </a:schemeClr>
                </a:solidFill>
              </a:ln>
              <a:effectLst>
                <a:innerShdw blurRad="114300">
                  <a:schemeClr val="accent4">
                    <a:lumMod val="80000"/>
                    <a:lumOff val="20000"/>
                    <a:alpha val="70000"/>
                  </a:schemeClr>
                </a:innerShdw>
              </a:effectLst>
            </c:spPr>
            <c:extLst>
              <c:ext xmlns:c16="http://schemas.microsoft.com/office/drawing/2014/chart" uri="{C3380CC4-5D6E-409C-BE32-E72D297353CC}">
                <c16:uniqueId val="{0000001F-6B16-4F58-8A51-16A42D95A5B3}"/>
              </c:ext>
            </c:extLst>
          </c:dPt>
          <c:dPt>
            <c:idx val="16"/>
            <c:invertIfNegative val="0"/>
            <c:bubble3D val="0"/>
            <c:spPr>
              <a:pattFill prst="ltUpDiag">
                <a:fgClr>
                  <a:schemeClr val="accent5">
                    <a:lumMod val="80000"/>
                    <a:lumOff val="20000"/>
                  </a:schemeClr>
                </a:fgClr>
                <a:bgClr>
                  <a:schemeClr val="accent5">
                    <a:lumMod val="80000"/>
                    <a:lumOff val="20000"/>
                    <a:lumMod val="20000"/>
                    <a:lumOff val="80000"/>
                  </a:schemeClr>
                </a:bgClr>
              </a:pattFill>
              <a:ln w="9525" cap="flat" cmpd="sng" algn="ctr">
                <a:solidFill>
                  <a:schemeClr val="accent5">
                    <a:lumMod val="80000"/>
                    <a:lumOff val="20000"/>
                    <a:alpha val="75000"/>
                  </a:schemeClr>
                </a:solidFill>
              </a:ln>
              <a:effectLst>
                <a:innerShdw blurRad="114300">
                  <a:schemeClr val="accent5">
                    <a:lumMod val="80000"/>
                    <a:lumOff val="20000"/>
                    <a:alpha val="70000"/>
                  </a:schemeClr>
                </a:innerShdw>
              </a:effectLst>
            </c:spPr>
            <c:extLst>
              <c:ext xmlns:c16="http://schemas.microsoft.com/office/drawing/2014/chart" uri="{C3380CC4-5D6E-409C-BE32-E72D297353CC}">
                <c16:uniqueId val="{00000021-6B16-4F58-8A51-16A42D95A5B3}"/>
              </c:ext>
            </c:extLst>
          </c:dPt>
          <c:dPt>
            <c:idx val="17"/>
            <c:invertIfNegative val="0"/>
            <c:bubble3D val="0"/>
            <c:spPr>
              <a:pattFill prst="ltUpDiag">
                <a:fgClr>
                  <a:schemeClr val="accent6">
                    <a:lumMod val="80000"/>
                    <a:lumOff val="20000"/>
                  </a:schemeClr>
                </a:fgClr>
                <a:bgClr>
                  <a:schemeClr val="accent6">
                    <a:lumMod val="80000"/>
                    <a:lumOff val="20000"/>
                    <a:lumMod val="20000"/>
                    <a:lumOff val="80000"/>
                  </a:schemeClr>
                </a:bgClr>
              </a:pattFill>
              <a:ln w="9525" cap="flat" cmpd="sng" algn="ctr">
                <a:solidFill>
                  <a:schemeClr val="accent6">
                    <a:lumMod val="80000"/>
                    <a:lumOff val="20000"/>
                    <a:alpha val="75000"/>
                  </a:schemeClr>
                </a:solidFill>
              </a:ln>
              <a:effectLst>
                <a:innerShdw blurRad="114300">
                  <a:schemeClr val="accent6">
                    <a:lumMod val="80000"/>
                    <a:lumOff val="20000"/>
                    <a:alpha val="70000"/>
                  </a:schemeClr>
                </a:innerShdw>
              </a:effectLst>
            </c:spPr>
            <c:extLst>
              <c:ext xmlns:c16="http://schemas.microsoft.com/office/drawing/2014/chart" uri="{C3380CC4-5D6E-409C-BE32-E72D297353CC}">
                <c16:uniqueId val="{00000023-6B16-4F58-8A51-16A42D95A5B3}"/>
              </c:ext>
            </c:extLst>
          </c:dPt>
          <c:dPt>
            <c:idx val="18"/>
            <c:invertIfNegative val="0"/>
            <c:bubble3D val="0"/>
            <c:spPr>
              <a:pattFill prst="ltUpDiag">
                <a:fgClr>
                  <a:schemeClr val="accent1">
                    <a:lumMod val="80000"/>
                  </a:schemeClr>
                </a:fgClr>
                <a:bgClr>
                  <a:schemeClr val="accent1">
                    <a:lumMod val="80000"/>
                    <a:lumMod val="20000"/>
                    <a:lumOff val="80000"/>
                  </a:schemeClr>
                </a:bgClr>
              </a:pattFill>
              <a:ln w="9525" cap="flat" cmpd="sng" algn="ctr">
                <a:solidFill>
                  <a:schemeClr val="accent1">
                    <a:lumMod val="80000"/>
                    <a:alpha val="75000"/>
                  </a:schemeClr>
                </a:solidFill>
              </a:ln>
              <a:effectLst>
                <a:innerShdw blurRad="114300">
                  <a:schemeClr val="accent1">
                    <a:lumMod val="80000"/>
                    <a:alpha val="70000"/>
                  </a:schemeClr>
                </a:innerShdw>
              </a:effectLst>
            </c:spPr>
            <c:extLst>
              <c:ext xmlns:c16="http://schemas.microsoft.com/office/drawing/2014/chart" uri="{C3380CC4-5D6E-409C-BE32-E72D297353CC}">
                <c16:uniqueId val="{00000025-6B16-4F58-8A51-16A42D95A5B3}"/>
              </c:ext>
            </c:extLst>
          </c:dPt>
          <c:dPt>
            <c:idx val="19"/>
            <c:invertIfNegative val="0"/>
            <c:bubble3D val="0"/>
            <c:spPr>
              <a:pattFill prst="ltUpDiag">
                <a:fgClr>
                  <a:schemeClr val="accent2">
                    <a:lumMod val="80000"/>
                  </a:schemeClr>
                </a:fgClr>
                <a:bgClr>
                  <a:schemeClr val="accent2">
                    <a:lumMod val="80000"/>
                    <a:lumMod val="20000"/>
                    <a:lumOff val="80000"/>
                  </a:schemeClr>
                </a:bgClr>
              </a:pattFill>
              <a:ln w="9525" cap="flat" cmpd="sng" algn="ctr">
                <a:solidFill>
                  <a:schemeClr val="accent2">
                    <a:lumMod val="80000"/>
                    <a:alpha val="75000"/>
                  </a:schemeClr>
                </a:solidFill>
              </a:ln>
              <a:effectLst>
                <a:innerShdw blurRad="114300">
                  <a:schemeClr val="accent2">
                    <a:lumMod val="80000"/>
                    <a:alpha val="70000"/>
                  </a:schemeClr>
                </a:innerShdw>
              </a:effectLst>
            </c:spPr>
            <c:extLst>
              <c:ext xmlns:c16="http://schemas.microsoft.com/office/drawing/2014/chart" uri="{C3380CC4-5D6E-409C-BE32-E72D297353CC}">
                <c16:uniqueId val="{00000027-6B16-4F58-8A51-16A42D95A5B3}"/>
              </c:ext>
            </c:extLst>
          </c:dPt>
          <c:dPt>
            <c:idx val="20"/>
            <c:invertIfNegative val="0"/>
            <c:bubble3D val="0"/>
            <c:spPr>
              <a:pattFill prst="ltUpDiag">
                <a:fgClr>
                  <a:schemeClr val="accent3">
                    <a:lumMod val="80000"/>
                  </a:schemeClr>
                </a:fgClr>
                <a:bgClr>
                  <a:schemeClr val="accent3">
                    <a:lumMod val="80000"/>
                    <a:lumMod val="20000"/>
                    <a:lumOff val="80000"/>
                  </a:schemeClr>
                </a:bgClr>
              </a:pattFill>
              <a:ln w="9525" cap="flat" cmpd="sng" algn="ctr">
                <a:solidFill>
                  <a:schemeClr val="accent3">
                    <a:lumMod val="80000"/>
                    <a:alpha val="75000"/>
                  </a:schemeClr>
                </a:solidFill>
              </a:ln>
              <a:effectLst>
                <a:innerShdw blurRad="114300">
                  <a:schemeClr val="accent3">
                    <a:lumMod val="80000"/>
                    <a:alpha val="70000"/>
                  </a:schemeClr>
                </a:innerShdw>
              </a:effectLst>
            </c:spPr>
            <c:extLst>
              <c:ext xmlns:c16="http://schemas.microsoft.com/office/drawing/2014/chart" uri="{C3380CC4-5D6E-409C-BE32-E72D297353CC}">
                <c16:uniqueId val="{00000029-6B16-4F58-8A51-16A42D95A5B3}"/>
              </c:ext>
            </c:extLst>
          </c:dPt>
          <c:dPt>
            <c:idx val="21"/>
            <c:invertIfNegative val="0"/>
            <c:bubble3D val="0"/>
            <c:spPr>
              <a:pattFill prst="ltUpDiag">
                <a:fgClr>
                  <a:schemeClr val="accent4">
                    <a:lumMod val="80000"/>
                  </a:schemeClr>
                </a:fgClr>
                <a:bgClr>
                  <a:schemeClr val="accent4">
                    <a:lumMod val="80000"/>
                    <a:lumMod val="20000"/>
                    <a:lumOff val="80000"/>
                  </a:schemeClr>
                </a:bgClr>
              </a:pattFill>
              <a:ln w="9525" cap="flat" cmpd="sng" algn="ctr">
                <a:solidFill>
                  <a:schemeClr val="accent4">
                    <a:lumMod val="80000"/>
                    <a:alpha val="75000"/>
                  </a:schemeClr>
                </a:solidFill>
              </a:ln>
              <a:effectLst>
                <a:innerShdw blurRad="114300">
                  <a:schemeClr val="accent4">
                    <a:lumMod val="80000"/>
                    <a:alpha val="70000"/>
                  </a:schemeClr>
                </a:innerShdw>
              </a:effectLst>
            </c:spPr>
            <c:extLst>
              <c:ext xmlns:c16="http://schemas.microsoft.com/office/drawing/2014/chart" uri="{C3380CC4-5D6E-409C-BE32-E72D297353CC}">
                <c16:uniqueId val="{0000002B-6B16-4F58-8A51-16A42D95A5B3}"/>
              </c:ext>
            </c:extLst>
          </c:dPt>
          <c:dPt>
            <c:idx val="22"/>
            <c:invertIfNegative val="0"/>
            <c:bubble3D val="0"/>
            <c:spPr>
              <a:pattFill prst="ltUpDiag">
                <a:fgClr>
                  <a:schemeClr val="accent5">
                    <a:lumMod val="80000"/>
                  </a:schemeClr>
                </a:fgClr>
                <a:bgClr>
                  <a:schemeClr val="accent5">
                    <a:lumMod val="80000"/>
                    <a:lumMod val="20000"/>
                    <a:lumOff val="80000"/>
                  </a:schemeClr>
                </a:bgClr>
              </a:pattFill>
              <a:ln w="9525" cap="flat" cmpd="sng" algn="ctr">
                <a:solidFill>
                  <a:schemeClr val="accent5">
                    <a:lumMod val="80000"/>
                    <a:alpha val="75000"/>
                  </a:schemeClr>
                </a:solidFill>
              </a:ln>
              <a:effectLst>
                <a:innerShdw blurRad="114300">
                  <a:schemeClr val="accent5">
                    <a:lumMod val="80000"/>
                    <a:alpha val="70000"/>
                  </a:schemeClr>
                </a:innerShdw>
              </a:effectLst>
            </c:spPr>
            <c:extLst>
              <c:ext xmlns:c16="http://schemas.microsoft.com/office/drawing/2014/chart" uri="{C3380CC4-5D6E-409C-BE32-E72D297353CC}">
                <c16:uniqueId val="{0000002D-6B16-4F58-8A51-16A42D95A5B3}"/>
              </c:ext>
            </c:extLst>
          </c:dPt>
          <c:dPt>
            <c:idx val="23"/>
            <c:invertIfNegative val="0"/>
            <c:bubble3D val="0"/>
            <c:spPr>
              <a:pattFill prst="ltUpDiag">
                <a:fgClr>
                  <a:schemeClr val="accent6">
                    <a:lumMod val="80000"/>
                  </a:schemeClr>
                </a:fgClr>
                <a:bgClr>
                  <a:schemeClr val="accent6">
                    <a:lumMod val="80000"/>
                    <a:lumMod val="20000"/>
                    <a:lumOff val="80000"/>
                  </a:schemeClr>
                </a:bgClr>
              </a:pattFill>
              <a:ln w="9525" cap="flat" cmpd="sng" algn="ctr">
                <a:solidFill>
                  <a:schemeClr val="accent6">
                    <a:lumMod val="80000"/>
                    <a:alpha val="75000"/>
                  </a:schemeClr>
                </a:solidFill>
              </a:ln>
              <a:effectLst>
                <a:innerShdw blurRad="114300">
                  <a:schemeClr val="accent6">
                    <a:lumMod val="80000"/>
                    <a:alpha val="70000"/>
                  </a:schemeClr>
                </a:innerShdw>
              </a:effectLst>
            </c:spPr>
            <c:extLst>
              <c:ext xmlns:c16="http://schemas.microsoft.com/office/drawing/2014/chart" uri="{C3380CC4-5D6E-409C-BE32-E72D297353CC}">
                <c16:uniqueId val="{0000002F-6B16-4F58-8A51-16A42D95A5B3}"/>
              </c:ext>
            </c:extLst>
          </c:dPt>
          <c:dPt>
            <c:idx val="24"/>
            <c:invertIfNegative val="0"/>
            <c:bubble3D val="0"/>
            <c:spPr>
              <a:pattFill prst="ltUpDiag">
                <a:fgClr>
                  <a:schemeClr val="accent1">
                    <a:lumMod val="60000"/>
                    <a:lumOff val="40000"/>
                  </a:schemeClr>
                </a:fgClr>
                <a:bgClr>
                  <a:schemeClr val="accent1">
                    <a:lumMod val="60000"/>
                    <a:lumOff val="40000"/>
                    <a:lumMod val="20000"/>
                    <a:lumOff val="80000"/>
                  </a:schemeClr>
                </a:bgClr>
              </a:pattFill>
              <a:ln w="9525" cap="flat" cmpd="sng" algn="ctr">
                <a:solidFill>
                  <a:schemeClr val="accent1">
                    <a:lumMod val="60000"/>
                    <a:lumOff val="40000"/>
                    <a:alpha val="75000"/>
                  </a:schemeClr>
                </a:solidFill>
              </a:ln>
              <a:effectLst>
                <a:innerShdw blurRad="114300">
                  <a:schemeClr val="accent1">
                    <a:lumMod val="60000"/>
                    <a:lumOff val="40000"/>
                    <a:alpha val="70000"/>
                  </a:schemeClr>
                </a:innerShdw>
              </a:effectLst>
            </c:spPr>
            <c:extLst>
              <c:ext xmlns:c16="http://schemas.microsoft.com/office/drawing/2014/chart" uri="{C3380CC4-5D6E-409C-BE32-E72D297353CC}">
                <c16:uniqueId val="{00000031-6B16-4F58-8A51-16A42D95A5B3}"/>
              </c:ext>
            </c:extLst>
          </c:dPt>
          <c:dPt>
            <c:idx val="25"/>
            <c:invertIfNegative val="0"/>
            <c:bubble3D val="0"/>
            <c:spPr>
              <a:pattFill prst="ltUpDiag">
                <a:fgClr>
                  <a:schemeClr val="accent2">
                    <a:lumMod val="60000"/>
                    <a:lumOff val="40000"/>
                  </a:schemeClr>
                </a:fgClr>
                <a:bgClr>
                  <a:schemeClr val="accent2">
                    <a:lumMod val="60000"/>
                    <a:lumOff val="40000"/>
                    <a:lumMod val="20000"/>
                    <a:lumOff val="80000"/>
                  </a:schemeClr>
                </a:bgClr>
              </a:pattFill>
              <a:ln w="9525" cap="flat" cmpd="sng" algn="ctr">
                <a:solidFill>
                  <a:schemeClr val="accent2">
                    <a:lumMod val="60000"/>
                    <a:lumOff val="40000"/>
                    <a:alpha val="75000"/>
                  </a:schemeClr>
                </a:solidFill>
              </a:ln>
              <a:effectLst>
                <a:innerShdw blurRad="114300">
                  <a:schemeClr val="accent2">
                    <a:lumMod val="60000"/>
                    <a:lumOff val="40000"/>
                    <a:alpha val="70000"/>
                  </a:schemeClr>
                </a:innerShdw>
              </a:effectLst>
            </c:spPr>
            <c:extLst>
              <c:ext xmlns:c16="http://schemas.microsoft.com/office/drawing/2014/chart" uri="{C3380CC4-5D6E-409C-BE32-E72D297353CC}">
                <c16:uniqueId val="{00000033-6B16-4F58-8A51-16A42D95A5B3}"/>
              </c:ext>
            </c:extLst>
          </c:dPt>
          <c:dPt>
            <c:idx val="26"/>
            <c:invertIfNegative val="0"/>
            <c:bubble3D val="0"/>
            <c:spPr>
              <a:pattFill prst="ltUpDiag">
                <a:fgClr>
                  <a:schemeClr val="accent3">
                    <a:lumMod val="60000"/>
                    <a:lumOff val="40000"/>
                  </a:schemeClr>
                </a:fgClr>
                <a:bgClr>
                  <a:schemeClr val="accent3">
                    <a:lumMod val="60000"/>
                    <a:lumOff val="40000"/>
                    <a:lumMod val="20000"/>
                    <a:lumOff val="80000"/>
                  </a:schemeClr>
                </a:bgClr>
              </a:pattFill>
              <a:ln w="9525" cap="flat" cmpd="sng" algn="ctr">
                <a:solidFill>
                  <a:schemeClr val="accent3">
                    <a:lumMod val="60000"/>
                    <a:lumOff val="40000"/>
                    <a:alpha val="75000"/>
                  </a:schemeClr>
                </a:solidFill>
              </a:ln>
              <a:effectLst>
                <a:innerShdw blurRad="114300">
                  <a:schemeClr val="accent3">
                    <a:lumMod val="60000"/>
                    <a:lumOff val="40000"/>
                    <a:alpha val="70000"/>
                  </a:schemeClr>
                </a:innerShdw>
              </a:effectLst>
            </c:spPr>
            <c:extLst>
              <c:ext xmlns:c16="http://schemas.microsoft.com/office/drawing/2014/chart" uri="{C3380CC4-5D6E-409C-BE32-E72D297353CC}">
                <c16:uniqueId val="{00000035-6B16-4F58-8A51-16A42D95A5B3}"/>
              </c:ext>
            </c:extLst>
          </c:dPt>
          <c:dPt>
            <c:idx val="27"/>
            <c:invertIfNegative val="0"/>
            <c:bubble3D val="0"/>
            <c:spPr>
              <a:pattFill prst="ltUpDiag">
                <a:fgClr>
                  <a:schemeClr val="accent4">
                    <a:lumMod val="60000"/>
                    <a:lumOff val="40000"/>
                  </a:schemeClr>
                </a:fgClr>
                <a:bgClr>
                  <a:schemeClr val="accent4">
                    <a:lumMod val="60000"/>
                    <a:lumOff val="40000"/>
                    <a:lumMod val="20000"/>
                    <a:lumOff val="80000"/>
                  </a:schemeClr>
                </a:bgClr>
              </a:pattFill>
              <a:ln w="9525" cap="flat" cmpd="sng" algn="ctr">
                <a:solidFill>
                  <a:schemeClr val="accent4">
                    <a:lumMod val="60000"/>
                    <a:lumOff val="40000"/>
                    <a:alpha val="75000"/>
                  </a:schemeClr>
                </a:solidFill>
              </a:ln>
              <a:effectLst>
                <a:innerShdw blurRad="114300">
                  <a:schemeClr val="accent4">
                    <a:lumMod val="60000"/>
                    <a:lumOff val="40000"/>
                    <a:alpha val="70000"/>
                  </a:schemeClr>
                </a:innerShdw>
              </a:effectLst>
            </c:spPr>
            <c:extLst>
              <c:ext xmlns:c16="http://schemas.microsoft.com/office/drawing/2014/chart" uri="{C3380CC4-5D6E-409C-BE32-E72D297353CC}">
                <c16:uniqueId val="{00000037-6B16-4F58-8A51-16A42D95A5B3}"/>
              </c:ext>
            </c:extLst>
          </c:dPt>
          <c:dPt>
            <c:idx val="28"/>
            <c:invertIfNegative val="0"/>
            <c:bubble3D val="0"/>
            <c:spPr>
              <a:pattFill prst="ltUpDiag">
                <a:fgClr>
                  <a:schemeClr val="accent5">
                    <a:lumMod val="60000"/>
                    <a:lumOff val="40000"/>
                  </a:schemeClr>
                </a:fgClr>
                <a:bgClr>
                  <a:schemeClr val="accent5">
                    <a:lumMod val="60000"/>
                    <a:lumOff val="40000"/>
                    <a:lumMod val="20000"/>
                    <a:lumOff val="80000"/>
                  </a:schemeClr>
                </a:bgClr>
              </a:pattFill>
              <a:ln w="9525" cap="flat" cmpd="sng" algn="ctr">
                <a:solidFill>
                  <a:schemeClr val="accent5">
                    <a:lumMod val="60000"/>
                    <a:lumOff val="40000"/>
                    <a:alpha val="75000"/>
                  </a:schemeClr>
                </a:solidFill>
              </a:ln>
              <a:effectLst>
                <a:innerShdw blurRad="114300">
                  <a:schemeClr val="accent5">
                    <a:lumMod val="60000"/>
                    <a:lumOff val="40000"/>
                    <a:alpha val="70000"/>
                  </a:schemeClr>
                </a:innerShdw>
              </a:effectLst>
            </c:spPr>
            <c:extLst>
              <c:ext xmlns:c16="http://schemas.microsoft.com/office/drawing/2014/chart" uri="{C3380CC4-5D6E-409C-BE32-E72D297353CC}">
                <c16:uniqueId val="{00000039-6B16-4F58-8A51-16A42D95A5B3}"/>
              </c:ext>
            </c:extLst>
          </c:dPt>
          <c:dPt>
            <c:idx val="29"/>
            <c:invertIfNegative val="0"/>
            <c:bubble3D val="0"/>
            <c:spPr>
              <a:pattFill prst="ltUpDiag">
                <a:fgClr>
                  <a:schemeClr val="accent6">
                    <a:lumMod val="60000"/>
                    <a:lumOff val="40000"/>
                  </a:schemeClr>
                </a:fgClr>
                <a:bgClr>
                  <a:schemeClr val="accent6">
                    <a:lumMod val="60000"/>
                    <a:lumOff val="40000"/>
                    <a:lumMod val="20000"/>
                    <a:lumOff val="80000"/>
                  </a:schemeClr>
                </a:bgClr>
              </a:pattFill>
              <a:ln w="9525" cap="flat" cmpd="sng" algn="ctr">
                <a:solidFill>
                  <a:schemeClr val="accent6">
                    <a:lumMod val="60000"/>
                    <a:lumOff val="40000"/>
                    <a:alpha val="75000"/>
                  </a:schemeClr>
                </a:solidFill>
              </a:ln>
              <a:effectLst>
                <a:innerShdw blurRad="114300">
                  <a:schemeClr val="accent6">
                    <a:lumMod val="60000"/>
                    <a:lumOff val="40000"/>
                    <a:alpha val="70000"/>
                  </a:schemeClr>
                </a:innerShdw>
              </a:effectLst>
            </c:spPr>
            <c:extLst>
              <c:ext xmlns:c16="http://schemas.microsoft.com/office/drawing/2014/chart" uri="{C3380CC4-5D6E-409C-BE32-E72D297353CC}">
                <c16:uniqueId val="{0000003B-6B16-4F58-8A51-16A42D95A5B3}"/>
              </c:ext>
            </c:extLst>
          </c:dPt>
          <c:dPt>
            <c:idx val="30"/>
            <c:invertIfNegative val="0"/>
            <c:bubble3D val="0"/>
            <c:spPr>
              <a:pattFill prst="ltUpDiag">
                <a:fgClr>
                  <a:schemeClr val="accent1">
                    <a:lumMod val="50000"/>
                  </a:schemeClr>
                </a:fgClr>
                <a:bgClr>
                  <a:schemeClr val="accent1">
                    <a:lumMod val="50000"/>
                    <a:lumMod val="20000"/>
                    <a:lumOff val="80000"/>
                  </a:schemeClr>
                </a:bgClr>
              </a:pattFill>
              <a:ln w="9525" cap="flat" cmpd="sng" algn="ctr">
                <a:solidFill>
                  <a:schemeClr val="accent1">
                    <a:lumMod val="50000"/>
                    <a:alpha val="75000"/>
                  </a:schemeClr>
                </a:solidFill>
              </a:ln>
              <a:effectLst>
                <a:innerShdw blurRad="114300">
                  <a:schemeClr val="accent1">
                    <a:lumMod val="50000"/>
                    <a:alpha val="70000"/>
                  </a:schemeClr>
                </a:innerShdw>
              </a:effectLst>
            </c:spPr>
            <c:extLst>
              <c:ext xmlns:c16="http://schemas.microsoft.com/office/drawing/2014/chart" uri="{C3380CC4-5D6E-409C-BE32-E72D297353CC}">
                <c16:uniqueId val="{0000003D-6B16-4F58-8A51-16A42D95A5B3}"/>
              </c:ext>
            </c:extLst>
          </c:dPt>
          <c:dPt>
            <c:idx val="31"/>
            <c:invertIfNegative val="0"/>
            <c:bubble3D val="0"/>
            <c:spPr>
              <a:pattFill prst="ltUpDiag">
                <a:fgClr>
                  <a:schemeClr val="accent2">
                    <a:lumMod val="50000"/>
                  </a:schemeClr>
                </a:fgClr>
                <a:bgClr>
                  <a:schemeClr val="accent2">
                    <a:lumMod val="50000"/>
                    <a:lumMod val="20000"/>
                    <a:lumOff val="80000"/>
                  </a:schemeClr>
                </a:bgClr>
              </a:pattFill>
              <a:ln w="9525" cap="flat" cmpd="sng" algn="ctr">
                <a:solidFill>
                  <a:schemeClr val="accent2">
                    <a:lumMod val="50000"/>
                    <a:alpha val="75000"/>
                  </a:schemeClr>
                </a:solidFill>
              </a:ln>
              <a:effectLst>
                <a:innerShdw blurRad="114300">
                  <a:schemeClr val="accent2">
                    <a:lumMod val="50000"/>
                    <a:alpha val="70000"/>
                  </a:schemeClr>
                </a:innerShdw>
              </a:effectLst>
            </c:spPr>
            <c:extLst>
              <c:ext xmlns:c16="http://schemas.microsoft.com/office/drawing/2014/chart" uri="{C3380CC4-5D6E-409C-BE32-E72D297353CC}">
                <c16:uniqueId val="{0000003F-6B16-4F58-8A51-16A42D95A5B3}"/>
              </c:ext>
            </c:extLst>
          </c:dPt>
          <c:dPt>
            <c:idx val="32"/>
            <c:invertIfNegative val="0"/>
            <c:bubble3D val="0"/>
            <c:spPr>
              <a:pattFill prst="ltUpDiag">
                <a:fgClr>
                  <a:schemeClr val="accent3">
                    <a:lumMod val="50000"/>
                  </a:schemeClr>
                </a:fgClr>
                <a:bgClr>
                  <a:schemeClr val="accent3">
                    <a:lumMod val="50000"/>
                    <a:lumMod val="20000"/>
                    <a:lumOff val="80000"/>
                  </a:schemeClr>
                </a:bgClr>
              </a:pattFill>
              <a:ln w="9525" cap="flat" cmpd="sng" algn="ctr">
                <a:solidFill>
                  <a:schemeClr val="accent3">
                    <a:lumMod val="50000"/>
                    <a:alpha val="75000"/>
                  </a:schemeClr>
                </a:solidFill>
              </a:ln>
              <a:effectLst>
                <a:innerShdw blurRad="114300">
                  <a:schemeClr val="accent3">
                    <a:lumMod val="50000"/>
                    <a:alpha val="70000"/>
                  </a:schemeClr>
                </a:innerShdw>
              </a:effectLst>
            </c:spPr>
            <c:extLst>
              <c:ext xmlns:c16="http://schemas.microsoft.com/office/drawing/2014/chart" uri="{C3380CC4-5D6E-409C-BE32-E72D297353CC}">
                <c16:uniqueId val="{00000041-6B16-4F58-8A51-16A42D95A5B3}"/>
              </c:ext>
            </c:extLst>
          </c:dPt>
          <c:dPt>
            <c:idx val="33"/>
            <c:invertIfNegative val="0"/>
            <c:bubble3D val="0"/>
            <c:spPr>
              <a:pattFill prst="ltUpDiag">
                <a:fgClr>
                  <a:schemeClr val="accent4">
                    <a:lumMod val="50000"/>
                  </a:schemeClr>
                </a:fgClr>
                <a:bgClr>
                  <a:schemeClr val="accent4">
                    <a:lumMod val="50000"/>
                    <a:lumMod val="20000"/>
                    <a:lumOff val="80000"/>
                  </a:schemeClr>
                </a:bgClr>
              </a:pattFill>
              <a:ln w="9525" cap="flat" cmpd="sng" algn="ctr">
                <a:solidFill>
                  <a:schemeClr val="accent4">
                    <a:lumMod val="50000"/>
                    <a:alpha val="75000"/>
                  </a:schemeClr>
                </a:solidFill>
              </a:ln>
              <a:effectLst>
                <a:innerShdw blurRad="114300">
                  <a:schemeClr val="accent4">
                    <a:lumMod val="50000"/>
                    <a:alpha val="70000"/>
                  </a:schemeClr>
                </a:innerShdw>
              </a:effectLst>
            </c:spPr>
            <c:extLst>
              <c:ext xmlns:c16="http://schemas.microsoft.com/office/drawing/2014/chart" uri="{C3380CC4-5D6E-409C-BE32-E72D297353CC}">
                <c16:uniqueId val="{00000043-6B16-4F58-8A51-16A42D95A5B3}"/>
              </c:ext>
            </c:extLst>
          </c:dPt>
          <c:dPt>
            <c:idx val="34"/>
            <c:invertIfNegative val="0"/>
            <c:bubble3D val="0"/>
            <c:spPr>
              <a:pattFill prst="ltUpDiag">
                <a:fgClr>
                  <a:schemeClr val="accent5">
                    <a:lumMod val="50000"/>
                  </a:schemeClr>
                </a:fgClr>
                <a:bgClr>
                  <a:schemeClr val="accent5">
                    <a:lumMod val="50000"/>
                    <a:lumMod val="20000"/>
                    <a:lumOff val="80000"/>
                  </a:schemeClr>
                </a:bgClr>
              </a:pattFill>
              <a:ln w="9525" cap="flat" cmpd="sng" algn="ctr">
                <a:solidFill>
                  <a:schemeClr val="accent5">
                    <a:lumMod val="50000"/>
                    <a:alpha val="75000"/>
                  </a:schemeClr>
                </a:solidFill>
              </a:ln>
              <a:effectLst>
                <a:innerShdw blurRad="114300">
                  <a:schemeClr val="accent5">
                    <a:lumMod val="50000"/>
                    <a:alpha val="70000"/>
                  </a:schemeClr>
                </a:innerShdw>
              </a:effectLst>
            </c:spPr>
            <c:extLst>
              <c:ext xmlns:c16="http://schemas.microsoft.com/office/drawing/2014/chart" uri="{C3380CC4-5D6E-409C-BE32-E72D297353CC}">
                <c16:uniqueId val="{00000045-6B16-4F58-8A51-16A42D95A5B3}"/>
              </c:ext>
            </c:extLst>
          </c:dPt>
          <c:dPt>
            <c:idx val="35"/>
            <c:invertIfNegative val="0"/>
            <c:bubble3D val="0"/>
            <c:spPr>
              <a:pattFill prst="ltUpDiag">
                <a:fgClr>
                  <a:schemeClr val="accent6">
                    <a:lumMod val="50000"/>
                  </a:schemeClr>
                </a:fgClr>
                <a:bgClr>
                  <a:schemeClr val="accent6">
                    <a:lumMod val="50000"/>
                    <a:lumMod val="20000"/>
                    <a:lumOff val="80000"/>
                  </a:schemeClr>
                </a:bgClr>
              </a:pattFill>
              <a:ln w="9525" cap="flat" cmpd="sng" algn="ctr">
                <a:solidFill>
                  <a:schemeClr val="accent6">
                    <a:lumMod val="50000"/>
                    <a:alpha val="75000"/>
                  </a:schemeClr>
                </a:solidFill>
              </a:ln>
              <a:effectLst>
                <a:innerShdw blurRad="114300">
                  <a:schemeClr val="accent6">
                    <a:lumMod val="50000"/>
                    <a:alpha val="70000"/>
                  </a:schemeClr>
                </a:innerShdw>
              </a:effectLst>
            </c:spPr>
            <c:extLst>
              <c:ext xmlns:c16="http://schemas.microsoft.com/office/drawing/2014/chart" uri="{C3380CC4-5D6E-409C-BE32-E72D297353CC}">
                <c16:uniqueId val="{00000047-6B16-4F58-8A51-16A42D95A5B3}"/>
              </c:ext>
            </c:extLst>
          </c:dPt>
          <c:dPt>
            <c:idx val="36"/>
            <c:invertIfNegative val="0"/>
            <c:bubble3D val="0"/>
            <c:spPr>
              <a:pattFill prst="ltUpDiag">
                <a:fgClr>
                  <a:schemeClr val="accent1">
                    <a:lumMod val="70000"/>
                    <a:lumOff val="30000"/>
                  </a:schemeClr>
                </a:fgClr>
                <a:bgClr>
                  <a:schemeClr val="accent1">
                    <a:lumMod val="70000"/>
                    <a:lumOff val="30000"/>
                    <a:lumMod val="20000"/>
                    <a:lumOff val="80000"/>
                  </a:schemeClr>
                </a:bgClr>
              </a:pattFill>
              <a:ln w="9525" cap="flat" cmpd="sng" algn="ctr">
                <a:solidFill>
                  <a:schemeClr val="accent1">
                    <a:lumMod val="70000"/>
                    <a:lumOff val="30000"/>
                    <a:alpha val="75000"/>
                  </a:schemeClr>
                </a:solidFill>
              </a:ln>
              <a:effectLst>
                <a:innerShdw blurRad="114300">
                  <a:schemeClr val="accent1">
                    <a:lumMod val="70000"/>
                    <a:lumOff val="30000"/>
                    <a:alpha val="70000"/>
                  </a:schemeClr>
                </a:innerShdw>
              </a:effectLst>
            </c:spPr>
            <c:extLst>
              <c:ext xmlns:c16="http://schemas.microsoft.com/office/drawing/2014/chart" uri="{C3380CC4-5D6E-409C-BE32-E72D297353CC}">
                <c16:uniqueId val="{00000049-6B16-4F58-8A51-16A42D95A5B3}"/>
              </c:ext>
            </c:extLst>
          </c:dPt>
          <c:dPt>
            <c:idx val="37"/>
            <c:invertIfNegative val="0"/>
            <c:bubble3D val="0"/>
            <c:spPr>
              <a:pattFill prst="ltUpDiag">
                <a:fgClr>
                  <a:schemeClr val="accent2">
                    <a:lumMod val="70000"/>
                    <a:lumOff val="30000"/>
                  </a:schemeClr>
                </a:fgClr>
                <a:bgClr>
                  <a:schemeClr val="accent2">
                    <a:lumMod val="70000"/>
                    <a:lumOff val="30000"/>
                    <a:lumMod val="20000"/>
                    <a:lumOff val="80000"/>
                  </a:schemeClr>
                </a:bgClr>
              </a:pattFill>
              <a:ln w="9525" cap="flat" cmpd="sng" algn="ctr">
                <a:solidFill>
                  <a:schemeClr val="accent2">
                    <a:lumMod val="70000"/>
                    <a:lumOff val="30000"/>
                    <a:alpha val="75000"/>
                  </a:schemeClr>
                </a:solidFill>
              </a:ln>
              <a:effectLst>
                <a:innerShdw blurRad="114300">
                  <a:schemeClr val="accent2">
                    <a:lumMod val="70000"/>
                    <a:lumOff val="30000"/>
                    <a:alpha val="70000"/>
                  </a:schemeClr>
                </a:innerShdw>
              </a:effectLst>
            </c:spPr>
            <c:extLst>
              <c:ext xmlns:c16="http://schemas.microsoft.com/office/drawing/2014/chart" uri="{C3380CC4-5D6E-409C-BE32-E72D297353CC}">
                <c16:uniqueId val="{0000004B-6B16-4F58-8A51-16A42D95A5B3}"/>
              </c:ext>
            </c:extLst>
          </c:dPt>
          <c:dPt>
            <c:idx val="38"/>
            <c:invertIfNegative val="0"/>
            <c:bubble3D val="0"/>
            <c:spPr>
              <a:pattFill prst="ltUpDiag">
                <a:fgClr>
                  <a:schemeClr val="accent3">
                    <a:lumMod val="70000"/>
                    <a:lumOff val="30000"/>
                  </a:schemeClr>
                </a:fgClr>
                <a:bgClr>
                  <a:schemeClr val="accent3">
                    <a:lumMod val="70000"/>
                    <a:lumOff val="30000"/>
                    <a:lumMod val="20000"/>
                    <a:lumOff val="80000"/>
                  </a:schemeClr>
                </a:bgClr>
              </a:pattFill>
              <a:ln w="9525" cap="flat" cmpd="sng" algn="ctr">
                <a:solidFill>
                  <a:schemeClr val="accent3">
                    <a:lumMod val="70000"/>
                    <a:lumOff val="30000"/>
                    <a:alpha val="75000"/>
                  </a:schemeClr>
                </a:solidFill>
              </a:ln>
              <a:effectLst>
                <a:innerShdw blurRad="114300">
                  <a:schemeClr val="accent3">
                    <a:lumMod val="70000"/>
                    <a:lumOff val="30000"/>
                    <a:alpha val="70000"/>
                  </a:schemeClr>
                </a:innerShdw>
              </a:effectLst>
            </c:spPr>
            <c:extLst>
              <c:ext xmlns:c16="http://schemas.microsoft.com/office/drawing/2014/chart" uri="{C3380CC4-5D6E-409C-BE32-E72D297353CC}">
                <c16:uniqueId val="{0000004D-6B16-4F58-8A51-16A42D95A5B3}"/>
              </c:ext>
            </c:extLst>
          </c:dPt>
          <c:dPt>
            <c:idx val="39"/>
            <c:invertIfNegative val="0"/>
            <c:bubble3D val="0"/>
            <c:spPr>
              <a:pattFill prst="ltUpDiag">
                <a:fgClr>
                  <a:schemeClr val="accent4">
                    <a:lumMod val="70000"/>
                    <a:lumOff val="30000"/>
                  </a:schemeClr>
                </a:fgClr>
                <a:bgClr>
                  <a:schemeClr val="accent4">
                    <a:lumMod val="70000"/>
                    <a:lumOff val="30000"/>
                    <a:lumMod val="20000"/>
                    <a:lumOff val="80000"/>
                  </a:schemeClr>
                </a:bgClr>
              </a:pattFill>
              <a:ln w="9525" cap="flat" cmpd="sng" algn="ctr">
                <a:solidFill>
                  <a:schemeClr val="accent4">
                    <a:lumMod val="70000"/>
                    <a:lumOff val="30000"/>
                    <a:alpha val="75000"/>
                  </a:schemeClr>
                </a:solidFill>
              </a:ln>
              <a:effectLst>
                <a:innerShdw blurRad="114300">
                  <a:schemeClr val="accent4">
                    <a:lumMod val="70000"/>
                    <a:lumOff val="30000"/>
                    <a:alpha val="70000"/>
                  </a:schemeClr>
                </a:innerShdw>
              </a:effectLst>
            </c:spPr>
            <c:extLst>
              <c:ext xmlns:c16="http://schemas.microsoft.com/office/drawing/2014/chart" uri="{C3380CC4-5D6E-409C-BE32-E72D297353CC}">
                <c16:uniqueId val="{0000004F-6B16-4F58-8A51-16A42D95A5B3}"/>
              </c:ext>
            </c:extLst>
          </c:dPt>
          <c:dPt>
            <c:idx val="40"/>
            <c:invertIfNegative val="0"/>
            <c:bubble3D val="0"/>
            <c:spPr>
              <a:pattFill prst="ltUpDiag">
                <a:fgClr>
                  <a:schemeClr val="accent5">
                    <a:lumMod val="70000"/>
                    <a:lumOff val="30000"/>
                  </a:schemeClr>
                </a:fgClr>
                <a:bgClr>
                  <a:schemeClr val="accent5">
                    <a:lumMod val="70000"/>
                    <a:lumOff val="30000"/>
                    <a:lumMod val="20000"/>
                    <a:lumOff val="80000"/>
                  </a:schemeClr>
                </a:bgClr>
              </a:pattFill>
              <a:ln w="9525" cap="flat" cmpd="sng" algn="ctr">
                <a:solidFill>
                  <a:schemeClr val="accent5">
                    <a:lumMod val="70000"/>
                    <a:lumOff val="30000"/>
                    <a:alpha val="75000"/>
                  </a:schemeClr>
                </a:solidFill>
              </a:ln>
              <a:effectLst>
                <a:innerShdw blurRad="114300">
                  <a:schemeClr val="accent5">
                    <a:lumMod val="70000"/>
                    <a:lumOff val="30000"/>
                    <a:alpha val="70000"/>
                  </a:schemeClr>
                </a:innerShdw>
              </a:effectLst>
            </c:spPr>
            <c:extLst>
              <c:ext xmlns:c16="http://schemas.microsoft.com/office/drawing/2014/chart" uri="{C3380CC4-5D6E-409C-BE32-E72D297353CC}">
                <c16:uniqueId val="{00000051-6B16-4F58-8A51-16A42D95A5B3}"/>
              </c:ext>
            </c:extLst>
          </c:dPt>
          <c:dPt>
            <c:idx val="41"/>
            <c:invertIfNegative val="0"/>
            <c:bubble3D val="0"/>
            <c:spPr>
              <a:pattFill prst="ltUpDiag">
                <a:fgClr>
                  <a:schemeClr val="accent6">
                    <a:lumMod val="70000"/>
                    <a:lumOff val="30000"/>
                  </a:schemeClr>
                </a:fgClr>
                <a:bgClr>
                  <a:schemeClr val="accent6">
                    <a:lumMod val="70000"/>
                    <a:lumOff val="30000"/>
                    <a:lumMod val="20000"/>
                    <a:lumOff val="80000"/>
                  </a:schemeClr>
                </a:bgClr>
              </a:pattFill>
              <a:ln w="9525" cap="flat" cmpd="sng" algn="ctr">
                <a:solidFill>
                  <a:schemeClr val="accent6">
                    <a:lumMod val="70000"/>
                    <a:lumOff val="30000"/>
                    <a:alpha val="75000"/>
                  </a:schemeClr>
                </a:solidFill>
              </a:ln>
              <a:effectLst>
                <a:innerShdw blurRad="114300">
                  <a:schemeClr val="accent6">
                    <a:lumMod val="70000"/>
                    <a:lumOff val="30000"/>
                    <a:alpha val="70000"/>
                  </a:schemeClr>
                </a:innerShdw>
              </a:effectLst>
            </c:spPr>
            <c:extLst>
              <c:ext xmlns:c16="http://schemas.microsoft.com/office/drawing/2014/chart" uri="{C3380CC4-5D6E-409C-BE32-E72D297353CC}">
                <c16:uniqueId val="{00000053-6B16-4F58-8A51-16A42D95A5B3}"/>
              </c:ext>
            </c:extLst>
          </c:dPt>
          <c:dPt>
            <c:idx val="42"/>
            <c:invertIfNegative val="0"/>
            <c:bubble3D val="0"/>
            <c:spPr>
              <a:pattFill prst="ltUpDiag">
                <a:fgClr>
                  <a:schemeClr val="accent1">
                    <a:lumMod val="70000"/>
                  </a:schemeClr>
                </a:fgClr>
                <a:bgClr>
                  <a:schemeClr val="accent1">
                    <a:lumMod val="70000"/>
                    <a:lumMod val="20000"/>
                    <a:lumOff val="80000"/>
                  </a:schemeClr>
                </a:bgClr>
              </a:pattFill>
              <a:ln w="9525" cap="flat" cmpd="sng" algn="ctr">
                <a:solidFill>
                  <a:schemeClr val="accent1">
                    <a:lumMod val="70000"/>
                    <a:alpha val="75000"/>
                  </a:schemeClr>
                </a:solidFill>
              </a:ln>
              <a:effectLst>
                <a:innerShdw blurRad="114300">
                  <a:schemeClr val="accent1">
                    <a:lumMod val="70000"/>
                    <a:alpha val="70000"/>
                  </a:schemeClr>
                </a:innerShdw>
              </a:effectLst>
            </c:spPr>
            <c:extLst>
              <c:ext xmlns:c16="http://schemas.microsoft.com/office/drawing/2014/chart" uri="{C3380CC4-5D6E-409C-BE32-E72D297353CC}">
                <c16:uniqueId val="{00000055-6B16-4F58-8A51-16A42D95A5B3}"/>
              </c:ext>
            </c:extLst>
          </c:dPt>
          <c:dLbls>
            <c:delete val="1"/>
          </c:dLbls>
          <c:trendline>
            <c:spPr>
              <a:ln w="19050" cap="rnd">
                <a:solidFill>
                  <a:schemeClr val="accent1"/>
                </a:solidFill>
              </a:ln>
              <a:effectLst/>
            </c:spPr>
            <c:trendlineType val="linear"/>
            <c:dispRSqr val="0"/>
            <c:dispEq val="0"/>
          </c:trendline>
          <c:xVal>
            <c:numRef>
              <c:f>sales_volume_new_releasesv2!$G$2:$G$44</c:f>
              <c:numCache>
                <c:formatCode>0.00%</c:formatCode>
                <c:ptCount val="43"/>
                <c:pt idx="0">
                  <c:v>0.25790000000000002</c:v>
                </c:pt>
                <c:pt idx="1">
                  <c:v>8.5999999999999993E-2</c:v>
                </c:pt>
                <c:pt idx="2">
                  <c:v>0.13400000000000001</c:v>
                </c:pt>
                <c:pt idx="3">
                  <c:v>1.8700000000000001E-2</c:v>
                </c:pt>
                <c:pt idx="4">
                  <c:v>-0.17180000000000001</c:v>
                </c:pt>
                <c:pt idx="5">
                  <c:v>-0.13320000000000001</c:v>
                </c:pt>
                <c:pt idx="6">
                  <c:v>-7.17E-2</c:v>
                </c:pt>
                <c:pt idx="7">
                  <c:v>2.4799999999999999E-2</c:v>
                </c:pt>
                <c:pt idx="8">
                  <c:v>-0.27450000000000002</c:v>
                </c:pt>
                <c:pt idx="9">
                  <c:v>-0.14000000000000001</c:v>
                </c:pt>
                <c:pt idx="10">
                  <c:v>4.7899999999999998E-2</c:v>
                </c:pt>
                <c:pt idx="11">
                  <c:v>1.6199999999999999E-2</c:v>
                </c:pt>
                <c:pt idx="12">
                  <c:v>-6.6699999999999995E-2</c:v>
                </c:pt>
                <c:pt idx="13">
                  <c:v>0.29149999999999998</c:v>
                </c:pt>
                <c:pt idx="14">
                  <c:v>-1.47E-2</c:v>
                </c:pt>
                <c:pt idx="15">
                  <c:v>0.27200000000000002</c:v>
                </c:pt>
                <c:pt idx="16">
                  <c:v>6.9800000000000001E-2</c:v>
                </c:pt>
                <c:pt idx="17">
                  <c:v>3.0000000000000001E-3</c:v>
                </c:pt>
                <c:pt idx="18">
                  <c:v>0.15110000000000001</c:v>
                </c:pt>
                <c:pt idx="19">
                  <c:v>-0.1399</c:v>
                </c:pt>
                <c:pt idx="20">
                  <c:v>-0.35980000000000001</c:v>
                </c:pt>
                <c:pt idx="21">
                  <c:v>-0.1822</c:v>
                </c:pt>
                <c:pt idx="22">
                  <c:v>-0.58589999999999998</c:v>
                </c:pt>
                <c:pt idx="23">
                  <c:v>-0.45040000000000002</c:v>
                </c:pt>
                <c:pt idx="24">
                  <c:v>9.0899999999999995E-2</c:v>
                </c:pt>
                <c:pt idx="25">
                  <c:v>-0.1012</c:v>
                </c:pt>
                <c:pt idx="26">
                  <c:v>1.9556</c:v>
                </c:pt>
                <c:pt idx="27">
                  <c:v>8.6499999999999994E-2</c:v>
                </c:pt>
                <c:pt idx="28">
                  <c:v>0.34339999999999998</c:v>
                </c:pt>
                <c:pt idx="29">
                  <c:v>7.1800000000000003E-2</c:v>
                </c:pt>
                <c:pt idx="30">
                  <c:v>-0.30890000000000001</c:v>
                </c:pt>
                <c:pt idx="31">
                  <c:v>6.2700000000000006E-2</c:v>
                </c:pt>
                <c:pt idx="32">
                  <c:v>0.63819999999999999</c:v>
                </c:pt>
                <c:pt idx="33">
                  <c:v>1.8913</c:v>
                </c:pt>
                <c:pt idx="34">
                  <c:v>1.1900000000000001E-2</c:v>
                </c:pt>
                <c:pt idx="35">
                  <c:v>0.2606</c:v>
                </c:pt>
                <c:pt idx="36">
                  <c:v>-0.55589999999999995</c:v>
                </c:pt>
                <c:pt idx="37">
                  <c:v>-3.4799999999999998E-2</c:v>
                </c:pt>
                <c:pt idx="38">
                  <c:v>0.17910000000000001</c:v>
                </c:pt>
                <c:pt idx="39">
                  <c:v>4.3E-3</c:v>
                </c:pt>
                <c:pt idx="40">
                  <c:v>-0.91490000000000005</c:v>
                </c:pt>
                <c:pt idx="41">
                  <c:v>-0.15909999999999999</c:v>
                </c:pt>
                <c:pt idx="42">
                  <c:v>-0.29370000000000002</c:v>
                </c:pt>
              </c:numCache>
            </c:numRef>
          </c:xVal>
          <c:yVal>
            <c:numRef>
              <c:f>sales_volume_new_releasesv2!$B:$B</c:f>
              <c:numCache>
                <c:formatCode>General</c:formatCode>
                <c:ptCount val="1048576"/>
                <c:pt idx="0">
                  <c:v>0</c:v>
                </c:pt>
                <c:pt idx="1">
                  <c:v>4</c:v>
                </c:pt>
                <c:pt idx="2">
                  <c:v>3</c:v>
                </c:pt>
                <c:pt idx="3">
                  <c:v>3</c:v>
                </c:pt>
                <c:pt idx="4">
                  <c:v>3</c:v>
                </c:pt>
                <c:pt idx="5">
                  <c:v>2</c:v>
                </c:pt>
                <c:pt idx="6">
                  <c:v>2</c:v>
                </c:pt>
                <c:pt idx="7">
                  <c:v>1</c:v>
                </c:pt>
                <c:pt idx="8">
                  <c:v>1</c:v>
                </c:pt>
                <c:pt idx="9">
                  <c:v>1</c:v>
                </c:pt>
                <c:pt idx="10">
                  <c:v>1</c:v>
                </c:pt>
                <c:pt idx="11">
                  <c:v>1</c:v>
                </c:pt>
                <c:pt idx="12">
                  <c:v>1</c:v>
                </c:pt>
                <c:pt idx="13">
                  <c:v>1</c:v>
                </c:pt>
                <c:pt idx="14">
                  <c:v>1</c:v>
                </c:pt>
                <c:pt idx="15">
                  <c:v>1</c:v>
                </c:pt>
                <c:pt idx="16">
                  <c:v>1</c:v>
                </c:pt>
                <c:pt idx="17">
                  <c:v>1</c:v>
                </c:pt>
                <c:pt idx="18">
                  <c:v>1</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numCache>
            </c:numRef>
          </c:yVal>
          <c:bubbleSize>
            <c:numRef>
              <c:f>sales_volume_new_releasesv2!$F:$F</c:f>
              <c:numCache>
                <c:formatCode>General</c:formatCode>
                <c:ptCount val="1048576"/>
                <c:pt idx="0">
                  <c:v>0</c:v>
                </c:pt>
                <c:pt idx="1">
                  <c:v>1322</c:v>
                </c:pt>
                <c:pt idx="2">
                  <c:v>268621</c:v>
                </c:pt>
                <c:pt idx="3">
                  <c:v>1523</c:v>
                </c:pt>
                <c:pt idx="4">
                  <c:v>577425</c:v>
                </c:pt>
                <c:pt idx="5">
                  <c:v>497341</c:v>
                </c:pt>
                <c:pt idx="6">
                  <c:v>724383</c:v>
                </c:pt>
                <c:pt idx="7">
                  <c:v>242865</c:v>
                </c:pt>
                <c:pt idx="8">
                  <c:v>101862</c:v>
                </c:pt>
                <c:pt idx="9">
                  <c:v>11181</c:v>
                </c:pt>
                <c:pt idx="10">
                  <c:v>418892</c:v>
                </c:pt>
                <c:pt idx="11">
                  <c:v>473439</c:v>
                </c:pt>
                <c:pt idx="12">
                  <c:v>140801</c:v>
                </c:pt>
                <c:pt idx="13">
                  <c:v>219554</c:v>
                </c:pt>
                <c:pt idx="14">
                  <c:v>176199</c:v>
                </c:pt>
                <c:pt idx="15">
                  <c:v>211906</c:v>
                </c:pt>
                <c:pt idx="16">
                  <c:v>143705</c:v>
                </c:pt>
                <c:pt idx="17">
                  <c:v>49972</c:v>
                </c:pt>
                <c:pt idx="18">
                  <c:v>225280</c:v>
                </c:pt>
                <c:pt idx="19">
                  <c:v>36028</c:v>
                </c:pt>
                <c:pt idx="20">
                  <c:v>176230</c:v>
                </c:pt>
                <c:pt idx="21">
                  <c:v>320118</c:v>
                </c:pt>
                <c:pt idx="22">
                  <c:v>12035</c:v>
                </c:pt>
                <c:pt idx="23">
                  <c:v>20155</c:v>
                </c:pt>
                <c:pt idx="24">
                  <c:v>7660</c:v>
                </c:pt>
                <c:pt idx="25">
                  <c:v>8274</c:v>
                </c:pt>
                <c:pt idx="26">
                  <c:v>106831</c:v>
                </c:pt>
                <c:pt idx="27">
                  <c:v>20151</c:v>
                </c:pt>
                <c:pt idx="28">
                  <c:v>287125</c:v>
                </c:pt>
                <c:pt idx="29">
                  <c:v>36459</c:v>
                </c:pt>
                <c:pt idx="30">
                  <c:v>563</c:v>
                </c:pt>
                <c:pt idx="31">
                  <c:v>3261</c:v>
                </c:pt>
                <c:pt idx="32">
                  <c:v>112445</c:v>
                </c:pt>
                <c:pt idx="33">
                  <c:v>670</c:v>
                </c:pt>
                <c:pt idx="34">
                  <c:v>24714</c:v>
                </c:pt>
                <c:pt idx="35">
                  <c:v>188371</c:v>
                </c:pt>
                <c:pt idx="36">
                  <c:v>75950</c:v>
                </c:pt>
                <c:pt idx="37">
                  <c:v>16404</c:v>
                </c:pt>
                <c:pt idx="38">
                  <c:v>3816</c:v>
                </c:pt>
                <c:pt idx="39">
                  <c:v>3595</c:v>
                </c:pt>
                <c:pt idx="40">
                  <c:v>17031</c:v>
                </c:pt>
                <c:pt idx="41">
                  <c:v>4264</c:v>
                </c:pt>
                <c:pt idx="42">
                  <c:v>139288</c:v>
                </c:pt>
                <c:pt idx="43">
                  <c:v>102949</c:v>
                </c:pt>
              </c:numCache>
            </c:numRef>
          </c:bubbleSize>
          <c:bubble3D val="0"/>
          <c:extLst>
            <c:ext xmlns:c16="http://schemas.microsoft.com/office/drawing/2014/chart" uri="{C3380CC4-5D6E-409C-BE32-E72D297353CC}">
              <c16:uniqueId val="{00000057-6B16-4F58-8A51-16A42D95A5B3}"/>
            </c:ext>
          </c:extLst>
        </c:ser>
        <c:dLbls>
          <c:dLblPos val="t"/>
          <c:showLegendKey val="0"/>
          <c:showVal val="1"/>
          <c:showCatName val="0"/>
          <c:showSerName val="0"/>
          <c:showPercent val="0"/>
          <c:showBubbleSize val="0"/>
        </c:dLbls>
        <c:bubbleScale val="100"/>
        <c:showNegBubbles val="0"/>
        <c:axId val="1087949183"/>
        <c:axId val="1087949663"/>
      </c:bubbleChart>
      <c:valAx>
        <c:axId val="1087949183"/>
        <c:scaling>
          <c:orientation val="minMax"/>
        </c:scaling>
        <c:delete val="0"/>
        <c:axPos val="b"/>
        <c:title>
          <c:tx>
            <c:rich>
              <a:bodyPr rot="0" spcFirstLastPara="1" vertOverflow="ellipsis" vert="horz" wrap="square" anchor="ctr" anchorCtr="1"/>
              <a:lstStyle/>
              <a:p>
                <a:pPr>
                  <a:defRPr sz="1197" b="1" i="0" u="none" strike="noStrike" kern="1200" baseline="0">
                    <a:solidFill>
                      <a:schemeClr val="tx1">
                        <a:lumMod val="65000"/>
                        <a:lumOff val="35000"/>
                      </a:schemeClr>
                    </a:solidFill>
                    <a:latin typeface="+mn-lt"/>
                    <a:ea typeface="+mn-ea"/>
                    <a:cs typeface="+mn-cs"/>
                  </a:defRPr>
                </a:pPr>
                <a:r>
                  <a:rPr lang="en-GB"/>
                  <a:t>Sales Volume Growth</a:t>
                </a:r>
              </a:p>
            </c:rich>
          </c:tx>
          <c:overlay val="0"/>
          <c:spPr>
            <a:noFill/>
            <a:ln>
              <a:noFill/>
            </a:ln>
            <a:effectLst/>
          </c:sp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087949663"/>
        <c:crosses val="autoZero"/>
        <c:crossBetween val="midCat"/>
      </c:valAx>
      <c:valAx>
        <c:axId val="1087949663"/>
        <c:scaling>
          <c:orientation val="minMax"/>
          <c:max val="4.0999999999999996"/>
          <c:min val="0"/>
        </c:scaling>
        <c:delete val="0"/>
        <c:axPos val="l"/>
        <c:title>
          <c:tx>
            <c:rich>
              <a:bodyPr rot="-5400000" spcFirstLastPara="1" vertOverflow="ellipsis" vert="horz" wrap="square" anchor="ctr" anchorCtr="1"/>
              <a:lstStyle/>
              <a:p>
                <a:pPr>
                  <a:defRPr sz="1197" b="1" i="0" u="none" strike="noStrike" kern="1200" baseline="0">
                    <a:solidFill>
                      <a:schemeClr val="tx1">
                        <a:lumMod val="65000"/>
                        <a:lumOff val="35000"/>
                      </a:schemeClr>
                    </a:solidFill>
                    <a:latin typeface="+mn-lt"/>
                    <a:ea typeface="+mn-ea"/>
                    <a:cs typeface="+mn-cs"/>
                  </a:defRPr>
                </a:pPr>
                <a:r>
                  <a:rPr lang="en-GB"/>
                  <a:t> New Releases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087949183"/>
        <c:crosses val="autoZero"/>
        <c:crossBetween val="midCat"/>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a:noFill/>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GB" sz="1800"/>
              <a:t>Average Price for New vs Existing Releases - 2017-2019</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average_prices!$A$2</c:f>
              <c:strCache>
                <c:ptCount val="1"/>
                <c:pt idx="0">
                  <c:v>New Releases</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average_prices!$B$1</c:f>
              <c:strCache>
                <c:ptCount val="1"/>
                <c:pt idx="0">
                  <c:v>Average_Price</c:v>
                </c:pt>
              </c:strCache>
            </c:strRef>
          </c:cat>
          <c:val>
            <c:numRef>
              <c:f>average_prices!$B$2</c:f>
              <c:numCache>
                <c:formatCode>General</c:formatCode>
                <c:ptCount val="1"/>
                <c:pt idx="0">
                  <c:v>30597</c:v>
                </c:pt>
              </c:numCache>
            </c:numRef>
          </c:val>
          <c:extLst>
            <c:ext xmlns:c16="http://schemas.microsoft.com/office/drawing/2014/chart" uri="{C3380CC4-5D6E-409C-BE32-E72D297353CC}">
              <c16:uniqueId val="{00000000-9AC3-41C3-91D7-4A5CB9BE9627}"/>
            </c:ext>
          </c:extLst>
        </c:ser>
        <c:ser>
          <c:idx val="1"/>
          <c:order val="1"/>
          <c:tx>
            <c:strRef>
              <c:f>average_prices!$A$3</c:f>
              <c:strCache>
                <c:ptCount val="1"/>
                <c:pt idx="0">
                  <c:v>Existing Releases</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average_prices!$B$1</c:f>
              <c:strCache>
                <c:ptCount val="1"/>
                <c:pt idx="0">
                  <c:v>Average_Price</c:v>
                </c:pt>
              </c:strCache>
            </c:strRef>
          </c:cat>
          <c:val>
            <c:numRef>
              <c:f>average_prices!$B$3</c:f>
              <c:numCache>
                <c:formatCode>General</c:formatCode>
                <c:ptCount val="1"/>
                <c:pt idx="0">
                  <c:v>37086</c:v>
                </c:pt>
              </c:numCache>
            </c:numRef>
          </c:val>
          <c:extLst>
            <c:ext xmlns:c16="http://schemas.microsoft.com/office/drawing/2014/chart" uri="{C3380CC4-5D6E-409C-BE32-E72D297353CC}">
              <c16:uniqueId val="{00000001-9AC3-41C3-91D7-4A5CB9BE9627}"/>
            </c:ext>
          </c:extLst>
        </c:ser>
        <c:dLbls>
          <c:dLblPos val="outEnd"/>
          <c:showLegendKey val="0"/>
          <c:showVal val="1"/>
          <c:showCatName val="0"/>
          <c:showSerName val="0"/>
          <c:showPercent val="0"/>
          <c:showBubbleSize val="0"/>
        </c:dLbls>
        <c:gapWidth val="164"/>
        <c:overlap val="-22"/>
        <c:axId val="901867024"/>
        <c:axId val="901876624"/>
      </c:barChart>
      <c:catAx>
        <c:axId val="901867024"/>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901876624"/>
        <c:crosses val="autoZero"/>
        <c:auto val="1"/>
        <c:lblAlgn val="ctr"/>
        <c:lblOffset val="100"/>
        <c:noMultiLvlLbl val="0"/>
      </c:catAx>
      <c:valAx>
        <c:axId val="90187662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90186702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GB" sz="1800"/>
              <a:t>Top 10 Selling Manufacturers</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stacked"/>
        <c:varyColors val="0"/>
        <c:ser>
          <c:idx val="0"/>
          <c:order val="0"/>
          <c:tx>
            <c:strRef>
              <c:f>highest_selling_average!$B$1</c:f>
              <c:strCache>
                <c:ptCount val="1"/>
                <c:pt idx="0">
                  <c:v>2019_Sales</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strRef>
              <c:f>highest_selling_average!$A$2:$A$11</c:f>
              <c:strCache>
                <c:ptCount val="10"/>
                <c:pt idx="0">
                  <c:v>FORD</c:v>
                </c:pt>
                <c:pt idx="1">
                  <c:v>VOLKSWAGEN</c:v>
                </c:pt>
                <c:pt idx="2">
                  <c:v>VAUXHALL</c:v>
                </c:pt>
                <c:pt idx="3">
                  <c:v>BMW</c:v>
                </c:pt>
                <c:pt idx="4">
                  <c:v>MERCEDES</c:v>
                </c:pt>
                <c:pt idx="5">
                  <c:v>AUDI</c:v>
                </c:pt>
                <c:pt idx="6">
                  <c:v>NISSAN</c:v>
                </c:pt>
                <c:pt idx="7">
                  <c:v>TOYOTA</c:v>
                </c:pt>
                <c:pt idx="8">
                  <c:v>KIA</c:v>
                </c:pt>
                <c:pt idx="9">
                  <c:v>HYUNDAI</c:v>
                </c:pt>
              </c:strCache>
            </c:strRef>
          </c:cat>
          <c:val>
            <c:numRef>
              <c:f>highest_selling_average!$B$2:$B$11</c:f>
              <c:numCache>
                <c:formatCode>General</c:formatCode>
                <c:ptCount val="10"/>
                <c:pt idx="0">
                  <c:v>225680</c:v>
                </c:pt>
                <c:pt idx="1">
                  <c:v>194121</c:v>
                </c:pt>
                <c:pt idx="2">
                  <c:v>149626</c:v>
                </c:pt>
                <c:pt idx="3">
                  <c:v>160464</c:v>
                </c:pt>
                <c:pt idx="4">
                  <c:v>155746</c:v>
                </c:pt>
                <c:pt idx="5">
                  <c:v>132132</c:v>
                </c:pt>
                <c:pt idx="6">
                  <c:v>87330</c:v>
                </c:pt>
                <c:pt idx="7">
                  <c:v>99904</c:v>
                </c:pt>
                <c:pt idx="8">
                  <c:v>92616</c:v>
                </c:pt>
                <c:pt idx="9">
                  <c:v>76941</c:v>
                </c:pt>
              </c:numCache>
            </c:numRef>
          </c:val>
          <c:extLst>
            <c:ext xmlns:c16="http://schemas.microsoft.com/office/drawing/2014/chart" uri="{C3380CC4-5D6E-409C-BE32-E72D297353CC}">
              <c16:uniqueId val="{00000000-B9F6-4676-9479-979B52120524}"/>
            </c:ext>
          </c:extLst>
        </c:ser>
        <c:ser>
          <c:idx val="1"/>
          <c:order val="1"/>
          <c:tx>
            <c:strRef>
              <c:f>highest_selling_average!$C$1</c:f>
              <c:strCache>
                <c:ptCount val="1"/>
                <c:pt idx="0">
                  <c:v>2018_Sales</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strRef>
              <c:f>highest_selling_average!$A$2:$A$11</c:f>
              <c:strCache>
                <c:ptCount val="10"/>
                <c:pt idx="0">
                  <c:v>FORD</c:v>
                </c:pt>
                <c:pt idx="1">
                  <c:v>VOLKSWAGEN</c:v>
                </c:pt>
                <c:pt idx="2">
                  <c:v>VAUXHALL</c:v>
                </c:pt>
                <c:pt idx="3">
                  <c:v>BMW</c:v>
                </c:pt>
                <c:pt idx="4">
                  <c:v>MERCEDES</c:v>
                </c:pt>
                <c:pt idx="5">
                  <c:v>AUDI</c:v>
                </c:pt>
                <c:pt idx="6">
                  <c:v>NISSAN</c:v>
                </c:pt>
                <c:pt idx="7">
                  <c:v>TOYOTA</c:v>
                </c:pt>
                <c:pt idx="8">
                  <c:v>KIA</c:v>
                </c:pt>
                <c:pt idx="9">
                  <c:v>HYUNDAI</c:v>
                </c:pt>
              </c:strCache>
            </c:strRef>
          </c:cat>
          <c:val>
            <c:numRef>
              <c:f>highest_selling_average!$C$2:$C$11</c:f>
              <c:numCache>
                <c:formatCode>General</c:formatCode>
                <c:ptCount val="10"/>
                <c:pt idx="0">
                  <c:v>238331</c:v>
                </c:pt>
                <c:pt idx="1">
                  <c:v>192750</c:v>
                </c:pt>
                <c:pt idx="2">
                  <c:v>167048</c:v>
                </c:pt>
                <c:pt idx="3">
                  <c:v>159848</c:v>
                </c:pt>
                <c:pt idx="4">
                  <c:v>156411</c:v>
                </c:pt>
                <c:pt idx="5">
                  <c:v>133113</c:v>
                </c:pt>
                <c:pt idx="6">
                  <c:v>96381</c:v>
                </c:pt>
                <c:pt idx="7">
                  <c:v>95267</c:v>
                </c:pt>
                <c:pt idx="8">
                  <c:v>90721</c:v>
                </c:pt>
                <c:pt idx="9">
                  <c:v>83037</c:v>
                </c:pt>
              </c:numCache>
            </c:numRef>
          </c:val>
          <c:extLst>
            <c:ext xmlns:c16="http://schemas.microsoft.com/office/drawing/2014/chart" uri="{C3380CC4-5D6E-409C-BE32-E72D297353CC}">
              <c16:uniqueId val="{00000001-B9F6-4676-9479-979B52120524}"/>
            </c:ext>
          </c:extLst>
        </c:ser>
        <c:ser>
          <c:idx val="2"/>
          <c:order val="2"/>
          <c:tx>
            <c:strRef>
              <c:f>highest_selling_average!$D$1</c:f>
              <c:strCache>
                <c:ptCount val="1"/>
                <c:pt idx="0">
                  <c:v>2017_Sales</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cat>
            <c:strRef>
              <c:f>highest_selling_average!$A$2:$A$11</c:f>
              <c:strCache>
                <c:ptCount val="10"/>
                <c:pt idx="0">
                  <c:v>FORD</c:v>
                </c:pt>
                <c:pt idx="1">
                  <c:v>VOLKSWAGEN</c:v>
                </c:pt>
                <c:pt idx="2">
                  <c:v>VAUXHALL</c:v>
                </c:pt>
                <c:pt idx="3">
                  <c:v>BMW</c:v>
                </c:pt>
                <c:pt idx="4">
                  <c:v>MERCEDES</c:v>
                </c:pt>
                <c:pt idx="5">
                  <c:v>AUDI</c:v>
                </c:pt>
                <c:pt idx="6">
                  <c:v>NISSAN</c:v>
                </c:pt>
                <c:pt idx="7">
                  <c:v>TOYOTA</c:v>
                </c:pt>
                <c:pt idx="8">
                  <c:v>KIA</c:v>
                </c:pt>
                <c:pt idx="9">
                  <c:v>HYUNDAI</c:v>
                </c:pt>
              </c:strCache>
            </c:strRef>
          </c:cat>
          <c:val>
            <c:numRef>
              <c:f>highest_selling_average!$D$2:$D$11</c:f>
              <c:numCache>
                <c:formatCode>General</c:formatCode>
                <c:ptCount val="10"/>
                <c:pt idx="0">
                  <c:v>260372</c:v>
                </c:pt>
                <c:pt idx="1">
                  <c:v>190554</c:v>
                </c:pt>
                <c:pt idx="2">
                  <c:v>180667</c:v>
                </c:pt>
                <c:pt idx="3">
                  <c:v>153127</c:v>
                </c:pt>
                <c:pt idx="4">
                  <c:v>157050</c:v>
                </c:pt>
                <c:pt idx="5">
                  <c:v>153647</c:v>
                </c:pt>
                <c:pt idx="6">
                  <c:v>136407</c:v>
                </c:pt>
                <c:pt idx="7">
                  <c:v>91954</c:v>
                </c:pt>
                <c:pt idx="8">
                  <c:v>85284</c:v>
                </c:pt>
                <c:pt idx="9">
                  <c:v>82887</c:v>
                </c:pt>
              </c:numCache>
            </c:numRef>
          </c:val>
          <c:extLst>
            <c:ext xmlns:c16="http://schemas.microsoft.com/office/drawing/2014/chart" uri="{C3380CC4-5D6E-409C-BE32-E72D297353CC}">
              <c16:uniqueId val="{00000002-B9F6-4676-9479-979B52120524}"/>
            </c:ext>
          </c:extLst>
        </c:ser>
        <c:dLbls>
          <c:showLegendKey val="0"/>
          <c:showVal val="0"/>
          <c:showCatName val="0"/>
          <c:showSerName val="0"/>
          <c:showPercent val="0"/>
          <c:showBubbleSize val="0"/>
        </c:dLbls>
        <c:gapWidth val="219"/>
        <c:overlap val="100"/>
        <c:axId val="1228902367"/>
        <c:axId val="1373586624"/>
      </c:barChart>
      <c:scatterChart>
        <c:scatterStyle val="lineMarker"/>
        <c:varyColors val="0"/>
        <c:ser>
          <c:idx val="3"/>
          <c:order val="3"/>
          <c:tx>
            <c:strRef>
              <c:f>highest_selling_average!$F$1</c:f>
              <c:strCache>
                <c:ptCount val="1"/>
                <c:pt idx="0">
                  <c:v>Average_price</c:v>
                </c:pt>
              </c:strCache>
            </c:strRef>
          </c:tx>
          <c:spPr>
            <a:ln w="25400" cap="rnd">
              <a:noFill/>
              <a:round/>
            </a:ln>
            <a:effectLst/>
          </c:spPr>
          <c:marker>
            <c:symbol val="circle"/>
            <c:size val="6"/>
            <c:spPr>
              <a:solidFill>
                <a:schemeClr val="tx1"/>
              </a:solidFill>
              <a:ln>
                <a:noFill/>
              </a:ln>
              <a:effectLst/>
            </c:spPr>
          </c:marker>
          <c:xVal>
            <c:strRef>
              <c:f>highest_selling_average!$A$2:$A$11</c:f>
              <c:strCache>
                <c:ptCount val="10"/>
                <c:pt idx="0">
                  <c:v>FORD</c:v>
                </c:pt>
                <c:pt idx="1">
                  <c:v>VOLKSWAGEN</c:v>
                </c:pt>
                <c:pt idx="2">
                  <c:v>VAUXHALL</c:v>
                </c:pt>
                <c:pt idx="3">
                  <c:v>BMW</c:v>
                </c:pt>
                <c:pt idx="4">
                  <c:v>MERCEDES</c:v>
                </c:pt>
                <c:pt idx="5">
                  <c:v>AUDI</c:v>
                </c:pt>
                <c:pt idx="6">
                  <c:v>NISSAN</c:v>
                </c:pt>
                <c:pt idx="7">
                  <c:v>TOYOTA</c:v>
                </c:pt>
                <c:pt idx="8">
                  <c:v>KIA</c:v>
                </c:pt>
                <c:pt idx="9">
                  <c:v>HYUNDAI</c:v>
                </c:pt>
              </c:strCache>
            </c:strRef>
          </c:xVal>
          <c:yVal>
            <c:numRef>
              <c:f>highest_selling_average!$F$2:$F$11</c:f>
              <c:numCache>
                <c:formatCode>General</c:formatCode>
                <c:ptCount val="10"/>
                <c:pt idx="0">
                  <c:v>19726</c:v>
                </c:pt>
                <c:pt idx="1">
                  <c:v>23448</c:v>
                </c:pt>
                <c:pt idx="2">
                  <c:v>19393</c:v>
                </c:pt>
                <c:pt idx="3">
                  <c:v>46943</c:v>
                </c:pt>
                <c:pt idx="4">
                  <c:v>46944</c:v>
                </c:pt>
                <c:pt idx="5">
                  <c:v>38936</c:v>
                </c:pt>
                <c:pt idx="6">
                  <c:v>23792</c:v>
                </c:pt>
                <c:pt idx="7">
                  <c:v>20097</c:v>
                </c:pt>
                <c:pt idx="8">
                  <c:v>18409</c:v>
                </c:pt>
                <c:pt idx="9">
                  <c:v>20208</c:v>
                </c:pt>
              </c:numCache>
            </c:numRef>
          </c:yVal>
          <c:smooth val="0"/>
          <c:extLst>
            <c:ext xmlns:c16="http://schemas.microsoft.com/office/drawing/2014/chart" uri="{C3380CC4-5D6E-409C-BE32-E72D297353CC}">
              <c16:uniqueId val="{00000003-B9F6-4676-9479-979B52120524}"/>
            </c:ext>
          </c:extLst>
        </c:ser>
        <c:dLbls>
          <c:showLegendKey val="0"/>
          <c:showVal val="0"/>
          <c:showCatName val="0"/>
          <c:showSerName val="0"/>
          <c:showPercent val="0"/>
          <c:showBubbleSize val="0"/>
        </c:dLbls>
        <c:axId val="964419200"/>
        <c:axId val="964422080"/>
      </c:scatterChart>
      <c:catAx>
        <c:axId val="1228902367"/>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373586624"/>
        <c:crosses val="autoZero"/>
        <c:auto val="1"/>
        <c:lblAlgn val="ctr"/>
        <c:lblOffset val="100"/>
        <c:noMultiLvlLbl val="0"/>
      </c:catAx>
      <c:valAx>
        <c:axId val="1373586624"/>
        <c:scaling>
          <c:orientation val="minMax"/>
        </c:scaling>
        <c:delete val="0"/>
        <c:axPos val="l"/>
        <c:majorGridlines>
          <c:spPr>
            <a:ln>
              <a:solidFill>
                <a:schemeClr val="tx1">
                  <a:lumMod val="15000"/>
                  <a:lumOff val="85000"/>
                </a:schemeClr>
              </a:solidFill>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228902367"/>
        <c:crosses val="autoZero"/>
        <c:crossBetween val="between"/>
      </c:valAx>
      <c:valAx>
        <c:axId val="964422080"/>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964419200"/>
        <c:crosses val="max"/>
        <c:crossBetween val="midCat"/>
      </c:valAx>
      <c:valAx>
        <c:axId val="964419200"/>
        <c:scaling>
          <c:orientation val="minMax"/>
        </c:scaling>
        <c:delete val="1"/>
        <c:axPos val="b"/>
        <c:majorTickMark val="out"/>
        <c:minorTickMark val="none"/>
        <c:tickLblPos val="nextTo"/>
        <c:crossAx val="9644220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GB" sz="1800"/>
              <a:t>Top 10 Growing Maufacturers</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highest_growers!$B$1</c:f>
              <c:strCache>
                <c:ptCount val="1"/>
                <c:pt idx="0">
                  <c:v>Vol_Gro%</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highest_growers!$A$2:$A$11</c:f>
              <c:strCache>
                <c:ptCount val="10"/>
                <c:pt idx="0">
                  <c:v>DODGE</c:v>
                </c:pt>
                <c:pt idx="1">
                  <c:v>TESLA</c:v>
                </c:pt>
                <c:pt idx="2">
                  <c:v>MG</c:v>
                </c:pt>
                <c:pt idx="3">
                  <c:v>LAMBORGHINI</c:v>
                </c:pt>
                <c:pt idx="4">
                  <c:v>LEXUS</c:v>
                </c:pt>
                <c:pt idx="5">
                  <c:v>SEAT</c:v>
                </c:pt>
                <c:pt idx="6">
                  <c:v>VOLVO</c:v>
                </c:pt>
                <c:pt idx="7">
                  <c:v>DACIA</c:v>
                </c:pt>
                <c:pt idx="8">
                  <c:v>MCLAREN</c:v>
                </c:pt>
                <c:pt idx="9">
                  <c:v>MORGAN</c:v>
                </c:pt>
              </c:strCache>
            </c:strRef>
          </c:cat>
          <c:val>
            <c:numRef>
              <c:f>highest_growers!$B$2:$B$11</c:f>
              <c:numCache>
                <c:formatCode>General</c:formatCode>
                <c:ptCount val="10"/>
                <c:pt idx="0">
                  <c:v>300</c:v>
                </c:pt>
                <c:pt idx="1">
                  <c:v>195.56</c:v>
                </c:pt>
                <c:pt idx="2">
                  <c:v>189.13</c:v>
                </c:pt>
                <c:pt idx="3">
                  <c:v>63.82</c:v>
                </c:pt>
                <c:pt idx="4">
                  <c:v>34.340000000000003</c:v>
                </c:pt>
                <c:pt idx="5">
                  <c:v>29.15</c:v>
                </c:pt>
                <c:pt idx="6">
                  <c:v>27.2</c:v>
                </c:pt>
                <c:pt idx="7">
                  <c:v>26.06</c:v>
                </c:pt>
                <c:pt idx="8">
                  <c:v>25.79</c:v>
                </c:pt>
                <c:pt idx="9">
                  <c:v>25</c:v>
                </c:pt>
              </c:numCache>
            </c:numRef>
          </c:val>
          <c:extLst>
            <c:ext xmlns:c16="http://schemas.microsoft.com/office/drawing/2014/chart" uri="{C3380CC4-5D6E-409C-BE32-E72D297353CC}">
              <c16:uniqueId val="{00000000-D8A5-43C2-9A3D-8085607EA3DB}"/>
            </c:ext>
          </c:extLst>
        </c:ser>
        <c:dLbls>
          <c:dLblPos val="outEnd"/>
          <c:showLegendKey val="0"/>
          <c:showVal val="1"/>
          <c:showCatName val="0"/>
          <c:showSerName val="0"/>
          <c:showPercent val="0"/>
          <c:showBubbleSize val="0"/>
        </c:dLbls>
        <c:gapWidth val="164"/>
        <c:overlap val="-22"/>
        <c:axId val="1171628160"/>
        <c:axId val="1171636320"/>
      </c:barChart>
      <c:catAx>
        <c:axId val="1171628160"/>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171636320"/>
        <c:crosses val="autoZero"/>
        <c:auto val="1"/>
        <c:lblAlgn val="ctr"/>
        <c:lblOffset val="100"/>
        <c:noMultiLvlLbl val="0"/>
      </c:catAx>
      <c:valAx>
        <c:axId val="1171636320"/>
        <c:scaling>
          <c:orientation val="minMax"/>
        </c:scaling>
        <c:delete val="0"/>
        <c:axPos val="l"/>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GB" sz="1000"/>
                  <a:t>Volume Growth %</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1716281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GB" sz="1800"/>
              <a:t>Sales Volume by Car Type - 2017 - 2019</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sales_by_type!$A$2:$B$17</c:f>
              <c:multiLvlStrCache>
                <c:ptCount val="16"/>
                <c:lvl>
                  <c:pt idx="0">
                    <c:v>Petrol</c:v>
                  </c:pt>
                  <c:pt idx="1">
                    <c:v>Petrol</c:v>
                  </c:pt>
                  <c:pt idx="2">
                    <c:v>Diesel</c:v>
                  </c:pt>
                  <c:pt idx="3">
                    <c:v>Other</c:v>
                  </c:pt>
                  <c:pt idx="4">
                    <c:v>Diesel</c:v>
                  </c:pt>
                  <c:pt idx="5">
                    <c:v>Electric Diesel REX</c:v>
                  </c:pt>
                  <c:pt idx="6">
                    <c:v>Diesel</c:v>
                  </c:pt>
                  <c:pt idx="7">
                    <c:v>Petrol</c:v>
                  </c:pt>
                  <c:pt idx="8">
                    <c:v>Petrol</c:v>
                  </c:pt>
                  <c:pt idx="9">
                    <c:v>Other</c:v>
                  </c:pt>
                  <c:pt idx="10">
                    <c:v>Other</c:v>
                  </c:pt>
                  <c:pt idx="11">
                    <c:v>Electric Diesel REX</c:v>
                  </c:pt>
                  <c:pt idx="12">
                    <c:v>Diesel</c:v>
                  </c:pt>
                  <c:pt idx="13">
                    <c:v>Other</c:v>
                  </c:pt>
                  <c:pt idx="14">
                    <c:v>Electric Diesel REX</c:v>
                  </c:pt>
                  <c:pt idx="15">
                    <c:v>Electric Diesel REX</c:v>
                  </c:pt>
                </c:lvl>
                <c:lvl>
                  <c:pt idx="0">
                    <c:v>&lt;= 1.0L</c:v>
                  </c:pt>
                  <c:pt idx="1">
                    <c:v>1.1 - 2.0L</c:v>
                  </c:pt>
                  <c:pt idx="2">
                    <c:v>1.1 - 2.0L</c:v>
                  </c:pt>
                  <c:pt idx="3">
                    <c:v>1.1 - 2.0L</c:v>
                  </c:pt>
                  <c:pt idx="4">
                    <c:v>2.1L - 3.0L</c:v>
                  </c:pt>
                  <c:pt idx="5">
                    <c:v>1.1 - 2.0L</c:v>
                  </c:pt>
                  <c:pt idx="6">
                    <c:v>&gt; 3.0L</c:v>
                  </c:pt>
                  <c:pt idx="7">
                    <c:v>2.1L - 3.0L</c:v>
                  </c:pt>
                  <c:pt idx="8">
                    <c:v>&gt; 3.0L</c:v>
                  </c:pt>
                  <c:pt idx="9">
                    <c:v>2.1L - 3.0L</c:v>
                  </c:pt>
                  <c:pt idx="10">
                    <c:v>&lt;= 1.0L</c:v>
                  </c:pt>
                  <c:pt idx="11">
                    <c:v>&lt;= 1.0L</c:v>
                  </c:pt>
                  <c:pt idx="12">
                    <c:v>&lt;= 1.0L</c:v>
                  </c:pt>
                  <c:pt idx="13">
                    <c:v>&gt; 3.0L</c:v>
                  </c:pt>
                  <c:pt idx="14">
                    <c:v>2.1L - 3.0L</c:v>
                  </c:pt>
                  <c:pt idx="15">
                    <c:v>&gt; 3.0L</c:v>
                  </c:pt>
                </c:lvl>
              </c:multiLvlStrCache>
            </c:multiLvlStrRef>
          </c:cat>
          <c:val>
            <c:numRef>
              <c:f>sales_by_type!$H$2:$H$17</c:f>
              <c:numCache>
                <c:formatCode>General</c:formatCode>
                <c:ptCount val="16"/>
                <c:pt idx="0">
                  <c:v>50744</c:v>
                </c:pt>
                <c:pt idx="1">
                  <c:v>40636</c:v>
                </c:pt>
                <c:pt idx="2">
                  <c:v>39663</c:v>
                </c:pt>
                <c:pt idx="3">
                  <c:v>35732</c:v>
                </c:pt>
                <c:pt idx="4">
                  <c:v>30021</c:v>
                </c:pt>
                <c:pt idx="5">
                  <c:v>25538</c:v>
                </c:pt>
                <c:pt idx="6">
                  <c:v>22619</c:v>
                </c:pt>
                <c:pt idx="7">
                  <c:v>20411</c:v>
                </c:pt>
                <c:pt idx="8">
                  <c:v>17083</c:v>
                </c:pt>
                <c:pt idx="9">
                  <c:v>11864</c:v>
                </c:pt>
                <c:pt idx="10">
                  <c:v>10367</c:v>
                </c:pt>
                <c:pt idx="11">
                  <c:v>6706</c:v>
                </c:pt>
                <c:pt idx="12">
                  <c:v>4896</c:v>
                </c:pt>
                <c:pt idx="13">
                  <c:v>952</c:v>
                </c:pt>
                <c:pt idx="14">
                  <c:v>798</c:v>
                </c:pt>
                <c:pt idx="15">
                  <c:v>676</c:v>
                </c:pt>
              </c:numCache>
            </c:numRef>
          </c:val>
          <c:extLst>
            <c:ext xmlns:c16="http://schemas.microsoft.com/office/drawing/2014/chart" uri="{C3380CC4-5D6E-409C-BE32-E72D297353CC}">
              <c16:uniqueId val="{00000000-7B5B-48EF-824F-437B8F511F89}"/>
            </c:ext>
          </c:extLst>
        </c:ser>
        <c:dLbls>
          <c:dLblPos val="outEnd"/>
          <c:showLegendKey val="0"/>
          <c:showVal val="1"/>
          <c:showCatName val="0"/>
          <c:showSerName val="0"/>
          <c:showPercent val="0"/>
          <c:showBubbleSize val="0"/>
        </c:dLbls>
        <c:gapWidth val="164"/>
        <c:overlap val="-22"/>
        <c:axId val="472511503"/>
        <c:axId val="472511983"/>
      </c:barChart>
      <c:catAx>
        <c:axId val="472511503"/>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472511983"/>
        <c:crosses val="autoZero"/>
        <c:auto val="1"/>
        <c:lblAlgn val="ctr"/>
        <c:lblOffset val="100"/>
        <c:noMultiLvlLbl val="1"/>
      </c:catAx>
      <c:valAx>
        <c:axId val="47251198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4725115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sz="1800"/>
              <a:t>Top 10 Growing Manufacturers - Emissions</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highest_growers_by_emissions!$B$1</c:f>
              <c:strCache>
                <c:ptCount val="1"/>
                <c:pt idx="0">
                  <c:v>Average_Emissions</c:v>
                </c:pt>
              </c:strCache>
            </c:strRef>
          </c:tx>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invertIfNegative val="0"/>
          <c:cat>
            <c:strRef>
              <c:f>highest_growers_by_emissions!$A$2:$A$10</c:f>
              <c:strCache>
                <c:ptCount val="9"/>
                <c:pt idx="0">
                  <c:v>Seat</c:v>
                </c:pt>
                <c:pt idx="1">
                  <c:v>Dodge</c:v>
                </c:pt>
                <c:pt idx="2">
                  <c:v>Tesla</c:v>
                </c:pt>
                <c:pt idx="3">
                  <c:v>Mg</c:v>
                </c:pt>
                <c:pt idx="4">
                  <c:v>Dacia</c:v>
                </c:pt>
                <c:pt idx="5">
                  <c:v>McLaren</c:v>
                </c:pt>
                <c:pt idx="6">
                  <c:v>Lexus</c:v>
                </c:pt>
                <c:pt idx="7">
                  <c:v>Volvo</c:v>
                </c:pt>
                <c:pt idx="8">
                  <c:v>Lamborghini</c:v>
                </c:pt>
              </c:strCache>
            </c:strRef>
          </c:cat>
          <c:val>
            <c:numRef>
              <c:f>highest_growers_by_emissions!$B$2:$B$10</c:f>
              <c:numCache>
                <c:formatCode>General</c:formatCode>
                <c:ptCount val="9"/>
                <c:pt idx="0">
                  <c:v>131</c:v>
                </c:pt>
                <c:pt idx="1">
                  <c:v>186</c:v>
                </c:pt>
                <c:pt idx="2">
                  <c:v>0</c:v>
                </c:pt>
                <c:pt idx="3">
                  <c:v>180</c:v>
                </c:pt>
                <c:pt idx="4">
                  <c:v>123</c:v>
                </c:pt>
                <c:pt idx="5">
                  <c:v>255</c:v>
                </c:pt>
                <c:pt idx="6">
                  <c:v>179</c:v>
                </c:pt>
                <c:pt idx="7">
                  <c:v>170</c:v>
                </c:pt>
                <c:pt idx="8">
                  <c:v>380</c:v>
                </c:pt>
              </c:numCache>
            </c:numRef>
          </c:val>
          <c:extLst>
            <c:ext xmlns:c16="http://schemas.microsoft.com/office/drawing/2014/chart" uri="{C3380CC4-5D6E-409C-BE32-E72D297353CC}">
              <c16:uniqueId val="{00000000-9625-4CCD-96E5-483F1EC5C7A9}"/>
            </c:ext>
          </c:extLst>
        </c:ser>
        <c:dLbls>
          <c:showLegendKey val="0"/>
          <c:showVal val="0"/>
          <c:showCatName val="0"/>
          <c:showSerName val="0"/>
          <c:showPercent val="0"/>
          <c:showBubbleSize val="0"/>
        </c:dLbls>
        <c:gapWidth val="160"/>
        <c:gapDepth val="0"/>
        <c:shape val="box"/>
        <c:axId val="1374239631"/>
        <c:axId val="1374239151"/>
        <c:axId val="0"/>
      </c:bar3DChart>
      <c:catAx>
        <c:axId val="137423963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374239151"/>
        <c:crosses val="autoZero"/>
        <c:auto val="1"/>
        <c:lblAlgn val="ctr"/>
        <c:lblOffset val="100"/>
        <c:noMultiLvlLbl val="0"/>
      </c:catAx>
      <c:valAx>
        <c:axId val="137423915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3742396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GB" sz="1800"/>
              <a:t>Top 10 Growing Manufacturers - Fuel Type</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bar"/>
        <c:grouping val="percentStacked"/>
        <c:varyColors val="0"/>
        <c:ser>
          <c:idx val="0"/>
          <c:order val="0"/>
          <c:tx>
            <c:strRef>
              <c:f>highest_growers_by_fuel_type!$B$1</c:f>
              <c:strCache>
                <c:ptCount val="1"/>
                <c:pt idx="0">
                  <c:v>Petrol_Cars</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strRef>
              <c:f>highest_growers_by_fuel_type!$A$2:$A$10</c:f>
              <c:strCache>
                <c:ptCount val="9"/>
                <c:pt idx="0">
                  <c:v>Dodge</c:v>
                </c:pt>
                <c:pt idx="1">
                  <c:v>Seat</c:v>
                </c:pt>
                <c:pt idx="2">
                  <c:v>Tesla</c:v>
                </c:pt>
                <c:pt idx="3">
                  <c:v>Mg</c:v>
                </c:pt>
                <c:pt idx="4">
                  <c:v>Dacia</c:v>
                </c:pt>
                <c:pt idx="5">
                  <c:v>McLaren</c:v>
                </c:pt>
                <c:pt idx="6">
                  <c:v>Volvo</c:v>
                </c:pt>
                <c:pt idx="7">
                  <c:v>Lexus</c:v>
                </c:pt>
                <c:pt idx="8">
                  <c:v>Lamborghini</c:v>
                </c:pt>
              </c:strCache>
            </c:strRef>
          </c:cat>
          <c:val>
            <c:numRef>
              <c:f>highest_growers_by_fuel_type!$B$2:$B$10</c:f>
              <c:numCache>
                <c:formatCode>General</c:formatCode>
                <c:ptCount val="9"/>
                <c:pt idx="0">
                  <c:v>58</c:v>
                </c:pt>
                <c:pt idx="1">
                  <c:v>2907</c:v>
                </c:pt>
                <c:pt idx="2">
                  <c:v>0</c:v>
                </c:pt>
                <c:pt idx="3">
                  <c:v>643</c:v>
                </c:pt>
                <c:pt idx="4">
                  <c:v>316</c:v>
                </c:pt>
                <c:pt idx="5">
                  <c:v>10</c:v>
                </c:pt>
                <c:pt idx="6">
                  <c:v>7131</c:v>
                </c:pt>
                <c:pt idx="7">
                  <c:v>1548</c:v>
                </c:pt>
                <c:pt idx="8">
                  <c:v>220</c:v>
                </c:pt>
              </c:numCache>
            </c:numRef>
          </c:val>
          <c:extLst>
            <c:ext xmlns:c16="http://schemas.microsoft.com/office/drawing/2014/chart" uri="{C3380CC4-5D6E-409C-BE32-E72D297353CC}">
              <c16:uniqueId val="{00000000-3395-4039-B8E9-57CD9F435C16}"/>
            </c:ext>
          </c:extLst>
        </c:ser>
        <c:ser>
          <c:idx val="1"/>
          <c:order val="1"/>
          <c:tx>
            <c:strRef>
              <c:f>highest_growers_by_fuel_type!$C$1</c:f>
              <c:strCache>
                <c:ptCount val="1"/>
                <c:pt idx="0">
                  <c:v>Diesel_Cars</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strRef>
              <c:f>highest_growers_by_fuel_type!$A$2:$A$10</c:f>
              <c:strCache>
                <c:ptCount val="9"/>
                <c:pt idx="0">
                  <c:v>Dodge</c:v>
                </c:pt>
                <c:pt idx="1">
                  <c:v>Seat</c:v>
                </c:pt>
                <c:pt idx="2">
                  <c:v>Tesla</c:v>
                </c:pt>
                <c:pt idx="3">
                  <c:v>Mg</c:v>
                </c:pt>
                <c:pt idx="4">
                  <c:v>Dacia</c:v>
                </c:pt>
                <c:pt idx="5">
                  <c:v>McLaren</c:v>
                </c:pt>
                <c:pt idx="6">
                  <c:v>Volvo</c:v>
                </c:pt>
                <c:pt idx="7">
                  <c:v>Lexus</c:v>
                </c:pt>
                <c:pt idx="8">
                  <c:v>Lamborghini</c:v>
                </c:pt>
              </c:strCache>
            </c:strRef>
          </c:cat>
          <c:val>
            <c:numRef>
              <c:f>highest_growers_by_fuel_type!$C$2:$C$10</c:f>
              <c:numCache>
                <c:formatCode>General</c:formatCode>
                <c:ptCount val="9"/>
                <c:pt idx="0">
                  <c:v>70</c:v>
                </c:pt>
                <c:pt idx="1">
                  <c:v>2716</c:v>
                </c:pt>
                <c:pt idx="2">
                  <c:v>0</c:v>
                </c:pt>
                <c:pt idx="3">
                  <c:v>219</c:v>
                </c:pt>
                <c:pt idx="4">
                  <c:v>196</c:v>
                </c:pt>
                <c:pt idx="5">
                  <c:v>0</c:v>
                </c:pt>
                <c:pt idx="6">
                  <c:v>10497</c:v>
                </c:pt>
                <c:pt idx="7">
                  <c:v>235</c:v>
                </c:pt>
                <c:pt idx="8">
                  <c:v>0</c:v>
                </c:pt>
              </c:numCache>
            </c:numRef>
          </c:val>
          <c:extLst>
            <c:ext xmlns:c16="http://schemas.microsoft.com/office/drawing/2014/chart" uri="{C3380CC4-5D6E-409C-BE32-E72D297353CC}">
              <c16:uniqueId val="{00000001-3395-4039-B8E9-57CD9F435C16}"/>
            </c:ext>
          </c:extLst>
        </c:ser>
        <c:ser>
          <c:idx val="2"/>
          <c:order val="2"/>
          <c:tx>
            <c:strRef>
              <c:f>highest_growers_by_fuel_type!$D$1</c:f>
              <c:strCache>
                <c:ptCount val="1"/>
                <c:pt idx="0">
                  <c:v>Other_Cars</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cat>
            <c:strRef>
              <c:f>highest_growers_by_fuel_type!$A$2:$A$10</c:f>
              <c:strCache>
                <c:ptCount val="9"/>
                <c:pt idx="0">
                  <c:v>Dodge</c:v>
                </c:pt>
                <c:pt idx="1">
                  <c:v>Seat</c:v>
                </c:pt>
                <c:pt idx="2">
                  <c:v>Tesla</c:v>
                </c:pt>
                <c:pt idx="3">
                  <c:v>Mg</c:v>
                </c:pt>
                <c:pt idx="4">
                  <c:v>Dacia</c:v>
                </c:pt>
                <c:pt idx="5">
                  <c:v>McLaren</c:v>
                </c:pt>
                <c:pt idx="6">
                  <c:v>Volvo</c:v>
                </c:pt>
                <c:pt idx="7">
                  <c:v>Lexus</c:v>
                </c:pt>
                <c:pt idx="8">
                  <c:v>Lamborghini</c:v>
                </c:pt>
              </c:strCache>
            </c:strRef>
          </c:cat>
          <c:val>
            <c:numRef>
              <c:f>highest_growers_by_fuel_type!$D$2:$D$10</c:f>
              <c:numCache>
                <c:formatCode>General</c:formatCode>
                <c:ptCount val="9"/>
                <c:pt idx="0">
                  <c:v>0</c:v>
                </c:pt>
                <c:pt idx="1">
                  <c:v>0</c:v>
                </c:pt>
                <c:pt idx="2">
                  <c:v>129</c:v>
                </c:pt>
                <c:pt idx="3">
                  <c:v>0</c:v>
                </c:pt>
                <c:pt idx="4">
                  <c:v>0</c:v>
                </c:pt>
                <c:pt idx="5">
                  <c:v>0</c:v>
                </c:pt>
                <c:pt idx="6">
                  <c:v>597</c:v>
                </c:pt>
                <c:pt idx="7">
                  <c:v>1468</c:v>
                </c:pt>
                <c:pt idx="8">
                  <c:v>0</c:v>
                </c:pt>
              </c:numCache>
            </c:numRef>
          </c:val>
          <c:extLst>
            <c:ext xmlns:c16="http://schemas.microsoft.com/office/drawing/2014/chart" uri="{C3380CC4-5D6E-409C-BE32-E72D297353CC}">
              <c16:uniqueId val="{00000002-3395-4039-B8E9-57CD9F435C16}"/>
            </c:ext>
          </c:extLst>
        </c:ser>
        <c:ser>
          <c:idx val="3"/>
          <c:order val="3"/>
          <c:tx>
            <c:strRef>
              <c:f>highest_growers_by_fuel_type!$E$1</c:f>
              <c:strCache>
                <c:ptCount val="1"/>
                <c:pt idx="0">
                  <c:v>REX_Cars</c:v>
                </c:pt>
              </c:strCache>
            </c:strRef>
          </c:tx>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cat>
            <c:strRef>
              <c:f>highest_growers_by_fuel_type!$A$2:$A$10</c:f>
              <c:strCache>
                <c:ptCount val="9"/>
                <c:pt idx="0">
                  <c:v>Dodge</c:v>
                </c:pt>
                <c:pt idx="1">
                  <c:v>Seat</c:v>
                </c:pt>
                <c:pt idx="2">
                  <c:v>Tesla</c:v>
                </c:pt>
                <c:pt idx="3">
                  <c:v>Mg</c:v>
                </c:pt>
                <c:pt idx="4">
                  <c:v>Dacia</c:v>
                </c:pt>
                <c:pt idx="5">
                  <c:v>McLaren</c:v>
                </c:pt>
                <c:pt idx="6">
                  <c:v>Volvo</c:v>
                </c:pt>
                <c:pt idx="7">
                  <c:v>Lexus</c:v>
                </c:pt>
                <c:pt idx="8">
                  <c:v>Lamborghini</c:v>
                </c:pt>
              </c:strCache>
            </c:strRef>
          </c:cat>
          <c:val>
            <c:numRef>
              <c:f>highest_growers_by_fuel_type!$E$2:$E$10</c:f>
              <c:numCache>
                <c:formatCode>General</c:formatCode>
                <c:ptCount val="9"/>
                <c:pt idx="0">
                  <c:v>0</c:v>
                </c:pt>
                <c:pt idx="1">
                  <c:v>0</c:v>
                </c:pt>
                <c:pt idx="2">
                  <c:v>0</c:v>
                </c:pt>
                <c:pt idx="3">
                  <c:v>0</c:v>
                </c:pt>
                <c:pt idx="4">
                  <c:v>1</c:v>
                </c:pt>
                <c:pt idx="5">
                  <c:v>0</c:v>
                </c:pt>
                <c:pt idx="6">
                  <c:v>0</c:v>
                </c:pt>
                <c:pt idx="7">
                  <c:v>6</c:v>
                </c:pt>
                <c:pt idx="8">
                  <c:v>0</c:v>
                </c:pt>
              </c:numCache>
            </c:numRef>
          </c:val>
          <c:extLst>
            <c:ext xmlns:c16="http://schemas.microsoft.com/office/drawing/2014/chart" uri="{C3380CC4-5D6E-409C-BE32-E72D297353CC}">
              <c16:uniqueId val="{00000003-3395-4039-B8E9-57CD9F435C16}"/>
            </c:ext>
          </c:extLst>
        </c:ser>
        <c:dLbls>
          <c:showLegendKey val="0"/>
          <c:showVal val="0"/>
          <c:showCatName val="0"/>
          <c:showSerName val="0"/>
          <c:showPercent val="0"/>
          <c:showBubbleSize val="0"/>
        </c:dLbls>
        <c:gapWidth val="150"/>
        <c:overlap val="100"/>
        <c:axId val="1372372047"/>
        <c:axId val="1372356687"/>
      </c:barChart>
      <c:catAx>
        <c:axId val="1372372047"/>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372356687"/>
        <c:crosses val="autoZero"/>
        <c:auto val="1"/>
        <c:lblAlgn val="ctr"/>
        <c:lblOffset val="100"/>
        <c:noMultiLvlLbl val="0"/>
      </c:catAx>
      <c:valAx>
        <c:axId val="1372356687"/>
        <c:scaling>
          <c:orientation val="minMax"/>
        </c:scaling>
        <c:delete val="0"/>
        <c:axPos val="b"/>
        <c:majorGridlines>
          <c:spPr>
            <a:ln>
              <a:solidFill>
                <a:schemeClr val="tx1">
                  <a:lumMod val="15000"/>
                  <a:lumOff val="85000"/>
                </a:schemeClr>
              </a:solidFill>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37237204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1197"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1197"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1197"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22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23">
  <cs:axisTitle>
    <cs:lnRef idx="0"/>
    <cs:fillRef idx="0"/>
    <cs:effectRef idx="0"/>
    <cs:fontRef idx="minor">
      <a:schemeClr val="tx1">
        <a:lumMod val="65000"/>
        <a:lumOff val="35000"/>
      </a:schemeClr>
    </cs:fontRef>
    <cs:defRPr sz="1197"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1197"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1197" kern="1200"/>
  </cs:dataTable>
  <cs:downBar>
    <cs:lnRef idx="0"/>
    <cs:fillRef idx="0"/>
    <cs:effectRef idx="0"/>
    <cs:fontRef idx="minor">
      <a:schemeClr val="dk1"/>
    </cs:fontRef>
    <cs:spPr>
      <a:solidFill>
        <a:schemeClr val="dk1">
          <a:lumMod val="65000"/>
          <a:lumOff val="35000"/>
        </a:schemeClr>
      </a:solidFill>
      <a:ln w="9525" cap="flat" cmpd="sng" algn="ctr">
        <a:solidFill>
          <a:schemeClr val="tx1">
            <a:lumMod val="65000"/>
            <a:lumOff val="35000"/>
          </a:schemeClr>
        </a:solidFill>
        <a:round/>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15875" cap="flat" cmpd="sng" algn="ctr">
        <a:solidFill>
          <a:schemeClr val="tx1">
            <a:lumMod val="65000"/>
            <a:lumOff val="3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22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1197"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1197"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1197"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22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1197"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1197"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1197"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22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87">
  <cs:axisTitle>
    <cs:lnRef idx="0"/>
    <cs:fillRef idx="0"/>
    <cs:effectRef idx="0"/>
    <cs:fontRef idx="minor">
      <a:schemeClr val="tx1">
        <a:lumMod val="65000"/>
        <a:lumOff val="35000"/>
      </a:schemeClr>
    </cs:fontRef>
    <cs:defRPr sz="1197" b="1" kern="1200"/>
  </cs:axisTitle>
  <cs:categoryAxis>
    <cs:lnRef idx="0"/>
    <cs:fillRef idx="0"/>
    <cs:effectRef idx="0"/>
    <cs:fontRef idx="minor">
      <a:schemeClr val="tx1">
        <a:lumMod val="65000"/>
        <a:lumOff val="35000"/>
      </a:schemeClr>
    </cs:fontRef>
    <cs:spPr/>
    <cs:defRPr sz="1197"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1197"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solidFill>
        <a:schemeClr val="lt1"/>
      </a:solidFill>
      <a:sp3d/>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22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99">
  <cs:axisTitle>
    <cs:lnRef idx="0"/>
    <cs:fillRef idx="0"/>
    <cs:effectRef idx="0"/>
    <cs:fontRef idx="minor">
      <a:schemeClr val="tx1">
        <a:lumMod val="65000"/>
        <a:lumOff val="35000"/>
      </a:schemeClr>
    </cs:fontRef>
    <cs:defRPr sz="1197"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1197"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1197"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ln w="19050" cap="flat" cmpd="sng" algn="ctr">
        <a:solidFill>
          <a:schemeClr val="tx1">
            <a:lumMod val="25000"/>
            <a:lumOff val="75000"/>
          </a:schemeClr>
        </a:solidFill>
        <a:round/>
      </a:ln>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22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26609</TotalTime>
  <Pages>4</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Grist</dc:creator>
  <cp:keywords/>
  <dc:description/>
  <cp:lastModifiedBy>Kieran Grist</cp:lastModifiedBy>
  <cp:revision>18</cp:revision>
  <dcterms:created xsi:type="dcterms:W3CDTF">2024-07-13T14:35:00Z</dcterms:created>
  <dcterms:modified xsi:type="dcterms:W3CDTF">2024-09-05T17:30:00Z</dcterms:modified>
</cp:coreProperties>
</file>