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602D7">
        <w:rPr>
          <w:rFonts w:ascii="Times New Roman" w:hAnsi="Times New Roman" w:cs="Times New Roman"/>
          <w:sz w:val="28"/>
          <w:lang w:val="uk-UA"/>
        </w:rPr>
        <w:t>30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 "Горобці і ворони", "Виклик номерів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94080C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94080C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B7405">
        <w:rPr>
          <w:noProof/>
        </w:rPr>
        <w:drawing>
          <wp:inline distT="0" distB="0" distL="0" distR="0">
            <wp:extent cx="1531620" cy="1587500"/>
            <wp:effectExtent l="0" t="0" r="0" b="0"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BB025F">
        <w:rPr>
          <w:b/>
          <w:noProof/>
          <w:sz w:val="28"/>
          <w:szCs w:val="28"/>
        </w:rPr>
        <w:drawing>
          <wp:inline distT="0" distB="0" distL="0" distR="0">
            <wp:extent cx="3246120" cy="1509393"/>
            <wp:effectExtent l="0" t="0" r="0" b="0"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</w:t>
      </w:r>
      <w:r>
        <w:rPr>
          <w:noProof/>
        </w:rPr>
        <w:drawing>
          <wp:inline distT="0" distB="0" distL="0" distR="0" wp14:anchorId="09C247D0" wp14:editId="7D49B87F">
            <wp:extent cx="1751330" cy="1587136"/>
            <wp:effectExtent l="0" t="0" r="1270" b="0"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   </w:t>
      </w:r>
      <w:r w:rsidRPr="0094080C">
        <w:rPr>
          <w:b/>
          <w:sz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24BC45C9" wp14:editId="65CDFF11">
            <wp:extent cx="3589020" cy="1547434"/>
            <wp:effectExtent l="0" t="0" r="0" b="0"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582814" w:rsidRPr="00BB025F" w:rsidRDefault="0094080C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420224" cy="1402080"/>
            <wp:effectExtent l="0" t="0" r="8890" b="7620"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582814" w:rsidRPr="00BC207D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541E8B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2814" w:rsidRPr="00391770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bookmarkStart w:id="0" w:name="_GoBack"/>
      <w:bookmarkEnd w:id="0"/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4126D7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>
        <w:rPr>
          <w:noProof/>
          <w:lang w:val="en-US" w:eastAsia="en-US"/>
        </w:rPr>
        <w:drawing>
          <wp:inline distT="0" distB="0" distL="0" distR="0">
            <wp:extent cx="1211580" cy="1374939"/>
            <wp:effectExtent l="0" t="0" r="7620" b="0"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4126D7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512094" cy="1363345"/>
            <wp:effectExtent l="0" t="0" r="0" b="8255"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6D7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184223" cy="12954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AA49F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="004126D7" w:rsidRPr="004126D7">
        <w:rPr>
          <w:rFonts w:ascii="Times New Roman" w:hAnsi="Times New Roman"/>
          <w:b/>
          <w:sz w:val="28"/>
          <w:szCs w:val="28"/>
          <w:lang w:val="uk-UA"/>
        </w:rPr>
        <w:t>"Горобці і ворони", "Виклик номерів"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1" w:name="_Toc507260179"/>
      <w:bookmarkStart w:id="2" w:name="_Toc507261134"/>
      <w:bookmarkStart w:id="3" w:name="_Toc507261287"/>
      <w:r w:rsidRPr="004126D7">
        <w:rPr>
          <w:rFonts w:ascii="Times New Roman" w:hAnsi="Times New Roman"/>
          <w:b/>
          <w:i/>
          <w:color w:val="0000FF"/>
          <w:sz w:val="28"/>
        </w:rPr>
        <w:t>„Горобці й ворони“</w:t>
      </w:r>
      <w:bookmarkEnd w:id="1"/>
      <w:bookmarkEnd w:id="2"/>
      <w:bookmarkEnd w:id="3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обці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они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“, „горобці“ тікають, а „ворони“ їх ловлять.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4" w:name="_Toc507260175"/>
      <w:bookmarkStart w:id="5" w:name="_Toc507261130"/>
      <w:bookmarkStart w:id="6" w:name="_Toc507261283"/>
      <w:r w:rsidRPr="004126D7">
        <w:rPr>
          <w:rFonts w:ascii="Times New Roman" w:hAnsi="Times New Roman"/>
          <w:b/>
          <w:i/>
          <w:color w:val="0000FF"/>
          <w:sz w:val="28"/>
        </w:rPr>
        <w:t>„Виклик номерів“</w:t>
      </w:r>
      <w:bookmarkEnd w:id="4"/>
      <w:bookmarkEnd w:id="5"/>
      <w:bookmarkEnd w:id="6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E07EE"/>
    <w:rsid w:val="004F455F"/>
    <w:rsid w:val="00510C9B"/>
    <w:rsid w:val="00582814"/>
    <w:rsid w:val="005E0DCE"/>
    <w:rsid w:val="0061210C"/>
    <w:rsid w:val="006C74C8"/>
    <w:rsid w:val="00742635"/>
    <w:rsid w:val="007843B4"/>
    <w:rsid w:val="00785EEB"/>
    <w:rsid w:val="0084006C"/>
    <w:rsid w:val="008602D7"/>
    <w:rsid w:val="0090601D"/>
    <w:rsid w:val="0094080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10275"/>
    <w:rsid w:val="00D73DDE"/>
    <w:rsid w:val="00DC03E9"/>
    <w:rsid w:val="00DE616C"/>
    <w:rsid w:val="00E66AE1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1E87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18</cp:revision>
  <dcterms:created xsi:type="dcterms:W3CDTF">2022-10-03T06:58:00Z</dcterms:created>
  <dcterms:modified xsi:type="dcterms:W3CDTF">2022-11-27T23:27:00Z</dcterms:modified>
</cp:coreProperties>
</file>