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13.10.22 р.                                      5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-165099</wp:posOffset>
                </wp:positionV>
                <wp:extent cx="2419350" cy="443294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-165099</wp:posOffset>
                </wp:positionV>
                <wp:extent cx="2419350" cy="443294"/>
                <wp:effectExtent b="0" l="0" r="0" t="0"/>
                <wp:wrapNone/>
                <wp:docPr id="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443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Прикладні програми. Узагальнення навчального матеріалу з 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прикладні програми та їх призначення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класифікувати пристрої комп’ютера та пояснювати їх призначення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характеризувати інформаційні процеси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доцільність використання інформаційних технологій в навчанні 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76" w:lineRule="auto"/>
        <w:ind w:hanging="426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200" w:line="276" w:lineRule="auto"/>
        <w:ind w:hanging="426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операційна система та яке вона має призначення?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ще програми потрібні для роботи, навчання, розваг?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00" w:line="276" w:lineRule="auto"/>
        <w:ind w:left="-425.196850393700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комп’ютера потрібні програми. Їх поділяють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системні, прикладні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інструментальні.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Системні програми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забезпечують взаємодію користувача з прикладними програмами, наприклад операційна система. Операційна система – це набір комп’ютерних програм, які керують усіма пристроями комп’ютера і забезпечують взаємодію з користувачем та прикладними програмами.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Прикладні програми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виконання конкретних завдань: створення і редагування текстів, зображень, презентацій, тощо.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Інструментальні програми (середовища програмування)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допомагають створювати нові програми.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416405</wp:posOffset>
            </wp:positionH>
            <wp:positionV relativeFrom="paragraph">
              <wp:posOffset>581025</wp:posOffset>
            </wp:positionV>
            <wp:extent cx="5466398" cy="2352851"/>
            <wp:effectExtent b="0" l="0" r="0" t="0"/>
            <wp:wrapTopAndBottom distB="114300" distT="11430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398" cy="2352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відео-урок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https://youtu.be/YOSIM5x2_4o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підсумкове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теми “Інформаційні процеси та системи” за посиланням: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https://naurok.com.ua/test/join?gamecode=4688870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0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16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D163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aurok.com.ua/test/join?gamecode=4688870" TargetMode="External"/><Relationship Id="rId9" Type="http://schemas.openxmlformats.org/officeDocument/2006/relationships/hyperlink" Target="https://youtu.be/YOSIM5x2_4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9ht3ZdE+EbtnjCV+0PHOBr05Lg==">AMUW2mVv6uGsf33R06o47hrPik0PE463PyGBN4zX1ZTwgd8hqfp9SZYTFRc4fceN6Z8S+PRrDgKsy8DobmYQYhPkya9xNlVF+YKwDIqtP6Wpp8r9VOqlDh4=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