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Клименко Алла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Зарубіжна література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3/4 тем уроків пройдено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Брати Грімм - відомі збирачі народних казок. " Пані Метелиця".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видано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Дата здачі: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Тема. Брати Грімм - відомі збирачі німецьких народних казок, значення їх діяльності у збереженні фольклору. Збірка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 Казки для дітей і родини". " Пані Метелиця". Персонажі казки як носії моральних цінностей.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Мета. З'ясувати роль братів Грімм у збереженні та популяризації народної казки; зацікавити творчою спадщиною письменників; розкрити зміст казки " Пані Метелиця".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В усіх народів світу є казки про боротьбу добра і зла, про дружбу, вірність. Герой японської народної казки " Момотаро, або Хлопчик -Персик" переміг зло, і за це ним пишаються батьки. " Наш Момотаро - найсміливіший у Японії!"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Перевірте себе ( стор. 28). Усно.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Сьогодні героями нашого уроку стануть незвичні люди - збирачі казок. Вони подорожують пустелями, океанами, щоб повернутися додому з новими записаними розповідями. Тож дорогоцінним багажем на їхньому шляху є казки.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Німецькі вчені, брати Якоб та Вільгельм Грімм на початку ХІХст. зібрали й опублікували збірки казок німецького народу.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Відкрийте електронний підручник (стор.6). Перегляньте експрес- урок. (Я. і В. Грімм. " Пані Метелиця").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Працюємо з літературознавчими термінами.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Сюжет. Мандрівні сюжети. Стор.31.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Прочитайте казку " Пані Метелиця"( стор. 34-37).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Дайте відповіді на запитання.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Стор. 39. Усно.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Знати зміст казки, уміти переказувати, аналізувати прочитане.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Підготуватися до роботи над порівняльною характеристикою героїнь казки " Пані Метелиця".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