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657D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 12</w:t>
      </w:r>
      <w:r w:rsidR="00B53C9C" w:rsidRPr="00B53C9C">
        <w:rPr>
          <w:i/>
          <w:sz w:val="28"/>
          <w:szCs w:val="28"/>
          <w:lang w:val="uk-UA"/>
        </w:rPr>
        <w:t xml:space="preserve">.01.23      </w:t>
      </w:r>
      <w:r w:rsidR="00B53C9C">
        <w:rPr>
          <w:i/>
          <w:sz w:val="28"/>
          <w:szCs w:val="28"/>
          <w:lang w:val="uk-UA"/>
        </w:rPr>
        <w:t xml:space="preserve">              </w:t>
      </w:r>
      <w:r>
        <w:rPr>
          <w:i/>
          <w:sz w:val="28"/>
          <w:szCs w:val="28"/>
          <w:lang w:val="uk-UA"/>
        </w:rPr>
        <w:t xml:space="preserve">      Клас: 8-А</w:t>
      </w:r>
      <w:bookmarkStart w:id="0" w:name="_GoBack"/>
      <w:bookmarkEnd w:id="0"/>
    </w:p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 w:rsidRPr="00B53C9C">
        <w:rPr>
          <w:i/>
          <w:sz w:val="28"/>
          <w:szCs w:val="28"/>
          <w:lang w:val="uk-UA"/>
        </w:rPr>
        <w:t xml:space="preserve">Укр.літ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      </w:t>
      </w:r>
      <w:r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Із сучасної української поезії (кінця ХХ- початку ХХІ ст.). Василь Герасимюк «Чоловічий танець», Іван Малкович «Із янголом на плечі», Анатолій Мойсієнко «Жовтень жовті жолуді», Ігор Павлюк «Дівчинка», Галина Кирпа «Мій ангел такий маленький»</w:t>
      </w:r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r w:rsidRPr="00F503D7">
        <w:rPr>
          <w:color w:val="2A2A2A"/>
          <w:lang w:val="uk-UA" w:eastAsia="uk-UA"/>
        </w:rPr>
        <w:t>: онайомити школярів зі здобутками в царині сучасної поезії, подати відомості про В. Герасим’юка,  І. Малковича, А. Мойсієнка,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>: удосконалювати вміння учнів аналізувати поетичні твори, уміння виразно й усвідомлено читати твори сучасних майстрів художнього слова, визначати ідейно-образний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>вміння відчувати й бачити красу художнього слова, формувати самостверджувальну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r w:rsidRPr="003447E1">
        <w:rPr>
          <w:b/>
          <w:i/>
          <w:sz w:val="28"/>
          <w:szCs w:val="28"/>
          <w:lang w:val="en-US"/>
        </w:rPr>
        <w:t>Ars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r w:rsidRPr="00CF117D">
        <w:rPr>
          <w:b/>
          <w:sz w:val="28"/>
          <w:szCs w:val="28"/>
        </w:rPr>
        <w:t xml:space="preserve">Хід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r w:rsidRPr="00702A07">
        <w:rPr>
          <w:sz w:val="28"/>
        </w:rPr>
        <w:t>сучасниками  - Василем Герасим’юком,  Іваном Малковичем, Анатолієм Мойсієнком, Ігорем Павлюком та Галиною Кирпа.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легіні </w:t>
      </w:r>
      <w:r w:rsidRPr="00F00E1C">
        <w:rPr>
          <w:sz w:val="28"/>
          <w:szCs w:val="28"/>
          <w:lang w:val="uk-UA"/>
        </w:rPr>
        <w:lastRenderedPageBreak/>
        <w:t>(після проходження обряду він отримував право танцювати, носити бартку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«тропачок»,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плечима»,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Чим пояснити думку поета про грішність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8E1957">
        <w:rPr>
          <w:i/>
          <w:sz w:val="28"/>
          <w:szCs w:val="28"/>
          <w:highlight w:val="yellow"/>
        </w:rPr>
        <w:t>Ідейно-художній аналіз твору</w:t>
      </w:r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Верлібр В. Герасим'юка розповідний, його внутрішній ритм наділений ознаками легендної, а деколи й притчової інтонації. Сам поет говорить про медитативність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5" w:tooltip="Французька мова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фр.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неримований, нерівнонаголошений віршорядок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6" w:tooltip="Вірш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вірш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7" w:tooltip="Жан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жанр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Віршува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9" w:tooltip="Фолькло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10" w:tooltip="Замовля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11" w:tooltip="Поезі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 є одночасно і ліричним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 w:rsidRPr="00B30EE7">
        <w:rPr>
          <w:i/>
          <w:sz w:val="28"/>
          <w:szCs w:val="28"/>
          <w:lang w:eastAsia="uk-UA"/>
        </w:rPr>
        <w:t>Складання асоціативного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(Ти) за допомогою змісту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«мусиш танцювати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>«повинен відчути «древн</w:t>
      </w:r>
      <w:r>
        <w:rPr>
          <w:sz w:val="28"/>
          <w:szCs w:val="28"/>
          <w:lang w:eastAsia="uk-UA"/>
        </w:rPr>
        <w:t>є» чоловіче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>ь у це найтісніше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«протанцюєш під бе</w:t>
      </w:r>
      <w:r>
        <w:rPr>
          <w:sz w:val="28"/>
          <w:szCs w:val="28"/>
          <w:lang w:eastAsia="uk-UA"/>
        </w:rPr>
        <w:t xml:space="preserve">зоднею неба»   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«змішай із ближніми піт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r w:rsidRPr="00B30EE7">
        <w:rPr>
          <w:sz w:val="28"/>
          <w:szCs w:val="28"/>
          <w:lang w:eastAsia="uk-UA"/>
        </w:rPr>
        <w:t>стаєш у чоловіче коло, готовий до цього древнього танцю.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r w:rsidRPr="00B30EE7">
        <w:rPr>
          <w:i/>
          <w:sz w:val="28"/>
          <w:szCs w:val="28"/>
          <w:lang w:eastAsia="uk-UA"/>
        </w:rPr>
        <w:t>Мікрофон:</w:t>
      </w:r>
      <w:r w:rsidRPr="00B30EE7">
        <w:rPr>
          <w:sz w:val="28"/>
          <w:szCs w:val="28"/>
          <w:lang w:eastAsia="uk-UA"/>
        </w:rPr>
        <w:t xml:space="preserve"> «Яким ви вбачаєте справжнього чоловіка»?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>Слово вчителя</w:t>
      </w:r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12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13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4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15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6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7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8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Добрі янголи служать Богові й людям (наприклад, </w:t>
      </w:r>
      <w:hyperlink r:id="rId19" w:tooltip="Янгол-охоронець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), злі янголи (</w:t>
      </w:r>
      <w:hyperlink r:id="rId20" w:tooltip="Диявол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диявол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21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які збунтувалися проти </w:t>
      </w:r>
      <w:hyperlink r:id="rId22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, схиляють людей до гріха. Біблія називає янголів службовими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 християнстві вважається, що кожна людина має свого янгола-охоронця. Існування янголів було підтверджено папою Римським Іоанном Павлом ІІ в 1986 році.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 називають синами неба або синами Бога. Деякі богослови й конфесії уважають, що вони здатні схрещуватися з людьми, породжуючи велетнів.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 християнстві існує подання про янголів-охоронців, що посилають до людини після таїнства хрещення. З</w:t>
      </w:r>
      <w:r w:rsidRPr="00C505C3">
        <w:rPr>
          <w:rFonts w:eastAsiaTheme="minorHAnsi"/>
          <w:sz w:val="28"/>
          <w:szCs w:val="28"/>
          <w:lang w:eastAsia="en-US"/>
        </w:rPr>
        <w:t>ображують янголів зазвичай у вигляді юнака з крилами; у кожної людини є свій ангел-охоронець; коли дитина всміхається уві сні, це означає, що на неї дивиться ангел; між ангелом-охоронцем і дияволом-спокусником завжди ворожнеча.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r>
        <w:rPr>
          <w:rFonts w:ascii="Arial" w:hAnsi="Arial" w:cs="Arial"/>
          <w:color w:val="545454"/>
          <w:shd w:val="clear" w:color="auto" w:fill="FFFFFF"/>
        </w:rPr>
        <w:t>двоскладова стопа з наголосом на першому складі</w:t>
      </w:r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лелійно,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бухка»,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Що символізує янгол у творі? ( Символізує не лише вищу опіку, а й віру в людину, яка несе в своєму серці часточку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На які роздуми надихає нас вірш? ( Запрошує замислитися про існування речей, які, хоч і не мають матеріального виміру, однак суттєво впливають на наші вчинки. Вірш викликає роздуми про вічне та виводить уяву читача за межі буденності, навіює світлий, мрійливий душевний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Розгляньте строфічну будову поезії. В чому її особливість? (Авторка використала </w:t>
      </w:r>
      <w:r w:rsidRPr="00C505C3">
        <w:rPr>
          <w:rFonts w:eastAsiaTheme="minorHAnsi"/>
          <w:b/>
          <w:sz w:val="28"/>
          <w:szCs w:val="28"/>
          <w:lang w:eastAsia="en-US"/>
        </w:rPr>
        <w:t>верлібр (вільний вірш),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досить чіткою строфічною будовою. Цікаво, що кожна строфа має однаковий початок (анафора) і після цього дається характеристика незримому супутникові, далі висловлюються відчуття героїні («не бачу», «не чую», «не знаю»). І, нарешті, завершують кожну строфу однакові словосполучення «на моєму плечі»)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Знайдіть у тексті повтори. Якого значення вони набувають у творі? (За допомогою повторів створюється такий ритм, який, немов заколисуючи заспокоює читача, дозволяє йому зосередитися на роздумах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Визначте засоби, що надають поезії спокійного й лагідного тону (Зменшено-пестливі форми)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Яку ілюстрацію до твору ви б запропонували?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r w:rsidRPr="0009345E">
        <w:rPr>
          <w:i/>
          <w:sz w:val="28"/>
          <w:szCs w:val="28"/>
          <w:u w:val="single"/>
        </w:rPr>
        <w:t>Ідейно-художній аналіз твор</w:t>
      </w:r>
      <w:r w:rsidR="00F503D7">
        <w:rPr>
          <w:i/>
          <w:sz w:val="28"/>
          <w:szCs w:val="28"/>
          <w:u w:val="single"/>
        </w:rPr>
        <w:t xml:space="preserve">у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657D9C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.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57D9C"/>
    <w:rsid w:val="006A3168"/>
    <w:rsid w:val="006F216C"/>
    <w:rsid w:val="00702A07"/>
    <w:rsid w:val="00751846"/>
    <w:rsid w:val="0075769F"/>
    <w:rsid w:val="0081116A"/>
    <w:rsid w:val="00834FA5"/>
    <w:rsid w:val="0086121C"/>
    <w:rsid w:val="0087579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57E4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1%80%D1%88%D1%83%D0%B2%D0%B0%D0%BD%D0%BD%D1%8F" TargetMode="External"/><Relationship Id="rId13" Type="http://schemas.openxmlformats.org/officeDocument/2006/relationships/hyperlink" Target="https://uk.wikipedia.org/wiki/%D0%86%D1%81%D0%BB%D0%B0%D0%BC" TargetMode="External"/><Relationship Id="rId18" Type="http://schemas.openxmlformats.org/officeDocument/2006/relationships/hyperlink" Target="https://uk.wikipedia.org/wiki/%D0%91%D0%BE%D0%B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1%D0%B0%D1%82%D0%B0%D0%BD%D0%B0" TargetMode="External"/><Relationship Id="rId7" Type="http://schemas.openxmlformats.org/officeDocument/2006/relationships/hyperlink" Target="https://uk.wikipedia.org/wiki/%D0%96%D0%B0%D0%BD%D1%80" TargetMode="External"/><Relationship Id="rId12" Type="http://schemas.openxmlformats.org/officeDocument/2006/relationships/hyperlink" Target="https://uk.wikipedia.org/wiki/%D0%A5%D1%80%D0%B8%D1%81%D1%82%D0%B8%D1%8F%D0%BD%D1%81%D1%82%D0%B2%D0%BE" TargetMode="External"/><Relationship Id="rId17" Type="http://schemas.openxmlformats.org/officeDocument/2006/relationships/hyperlink" Target="https://uk.wikipedia.org/wiki/%D0%9B%D1%8E%D0%B4%D0%B8%D0%BD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1%D0%BE%D0%B3" TargetMode="External"/><Relationship Id="rId20" Type="http://schemas.openxmlformats.org/officeDocument/2006/relationships/hyperlink" Target="https://uk.wikipedia.org/wiki/%D0%94%D0%B8%D1%8F%D0%B2%D0%BE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1%80%D1%88" TargetMode="External"/><Relationship Id="rId11" Type="http://schemas.openxmlformats.org/officeDocument/2006/relationships/hyperlink" Target="https://uk.wikipedia.org/wiki/%D0%9F%D0%BE%D0%B5%D0%B7%D1%96%D1%8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A4%D1%80%D0%B0%D0%BD%D1%86%D1%83%D0%B7%D1%8C%D0%BA%D0%B0_%D0%BC%D0%BE%D0%B2%D0%B0" TargetMode="External"/><Relationship Id="rId15" Type="http://schemas.openxmlformats.org/officeDocument/2006/relationships/hyperlink" Target="https://uk.wikipedia.org/wiki/%D0%A0%D0%B5%D0%BB%D1%96%D0%B3%D1%96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7%D0%B0%D0%BC%D0%BE%D0%B2%D0%BB%D1%8F%D0%BD%D0%BD%D1%8F" TargetMode="External"/><Relationship Id="rId19" Type="http://schemas.openxmlformats.org/officeDocument/2006/relationships/hyperlink" Target="https://uk.wikipedia.org/wiki/%D0%AF%D0%BD%D0%B3%D0%BE%D0%BB-%D0%BE%D1%85%D0%BE%D1%80%D0%BE%D0%BD%D0%B5%D1%86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4%D0%BE%D0%BB%D1%8C%D0%BA%D0%BB%D0%BE%D1%80" TargetMode="External"/><Relationship Id="rId14" Type="http://schemas.openxmlformats.org/officeDocument/2006/relationships/hyperlink" Target="https://uk.wikipedia.org/wiki/%D0%86%D1%83%D0%B4%D0%B0%D1%97%D0%B7%D0%BC" TargetMode="External"/><Relationship Id="rId22" Type="http://schemas.openxmlformats.org/officeDocument/2006/relationships/hyperlink" Target="https://uk.wikipedia.org/wiki/%D0%91%D0%BE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11</cp:revision>
  <cp:lastPrinted>2019-01-21T20:58:00Z</cp:lastPrinted>
  <dcterms:created xsi:type="dcterms:W3CDTF">2019-01-16T20:08:00Z</dcterms:created>
  <dcterms:modified xsi:type="dcterms:W3CDTF">2023-01-10T17:45:00Z</dcterms:modified>
</cp:coreProperties>
</file>