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EC74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C746D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Давній Вавилон. Закони </w:t>
      </w:r>
      <w:proofErr w:type="spellStart"/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Хаммурапі</w:t>
      </w:r>
      <w:proofErr w:type="spellEnd"/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B3F6A" w:rsidRPr="007B3F6A" w:rsidRDefault="00C82128" w:rsidP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причини піднесення Вавилона, значення законів </w:t>
      </w:r>
      <w:proofErr w:type="spellStart"/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>; розвивати вміння порівнювати, аналізувати, працювати з картою та стрічкою часу, сприяти формуванню навичок самостійної роботи та критичного мислення</w:t>
      </w:r>
    </w:p>
    <w:p w:rsidR="00E344F8" w:rsidRPr="0099354A" w:rsidRDefault="00486818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54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B43E2" w:rsidRPr="002B43E2">
        <w:t xml:space="preserve"> </w:t>
      </w:r>
      <w:hyperlink r:id="rId5" w:history="1">
        <w:r w:rsidR="002B43E2" w:rsidRPr="002B43E2">
          <w:rPr>
            <w:rStyle w:val="a4"/>
            <w:b/>
            <w:sz w:val="28"/>
            <w:szCs w:val="28"/>
          </w:rPr>
          <w:t>https://youtu.be/yJFti_EM6uA</w:t>
        </w:r>
      </w:hyperlink>
      <w:r w:rsidR="002B43E2" w:rsidRPr="002B43E2">
        <w:rPr>
          <w:b/>
          <w:sz w:val="28"/>
          <w:szCs w:val="28"/>
          <w:lang w:val="uk-UA"/>
        </w:rPr>
        <w:t xml:space="preserve"> </w:t>
      </w:r>
    </w:p>
    <w:p w:rsidR="00732E1D" w:rsidRDefault="00E344F8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2B43E2" w:rsidRPr="002B43E2">
        <w:t xml:space="preserve"> </w:t>
      </w:r>
    </w:p>
    <w:p w:rsidR="002B43E2" w:rsidRDefault="0099354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Виникнення міст-держав на території Межиріччя. Стародавній Вавилон</w:t>
      </w:r>
    </w:p>
    <w:p w:rsidR="0099354A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через тисячу років після утворення найдавніших держав у Південному Межиріччі на березі Євфрату виник Вавилон. Він розташувався на родючій рівнині, де не було ні лісу, ні будівельного каменю, тільки глини було в надлишку. Подекуди тут росли фінікові пальми, які в Межиріччі називали «дерево життя», а також зарості очерету. Селяни вирощували багато зерна й платили податок в царську казну — країна збагачувалася. Вавилон був зручно розташований. В його порту налічувалося багато судів, човнів з очерету, плотів, які витримували великий вантаж. У Вавилоні бурхливо розвивалася торгівля. Купці платили мито, яке збагачувало царську казну.</w:t>
      </w:r>
    </w:p>
    <w:p w:rsidR="002C5FBA" w:rsidRPr="002B43E2" w:rsidRDefault="002C5FB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9354A" w:rsidRPr="002B43E2" w:rsidRDefault="002B43E2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Пригадаємо (усно)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1) Як використовували глину вавилоняни?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2) Які товари везли купці з півночі на південь?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3) Які товари везли вгору за течією — з півдня на північ? (Чим було багате Межиріччя?).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Піднесення Вавилону за часів правління </w:t>
      </w:r>
      <w:proofErr w:type="spellStart"/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Хаммурапі</w:t>
      </w:r>
      <w:proofErr w:type="spellEnd"/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B43E2" w:rsidRDefault="0099354A" w:rsidP="002B43E2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— Величезної могутності досяг Вавилон за часів правління царя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>, який перебував при вл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аді з 1792 по 1750 рр. до н. е.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>Він розділив країну на області й до кожної з них призначив спеціального урядовця, який керував від його імені.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дуже піклувався про зрошування полів, які називали «душею країни». Для їх поливу була створена низка зрошувальних каналів. Біля столиці вирили канал, який назвали на честь царя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, ім’я якого у перекладі означало «Багатство людей». Якщо будь-який канал засмічувався і вода не надходила на поля, то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наказував його очистити.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За роки свого правління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підпорядкував Вавилону територію Ассирії, південної і середньої частини Месопотамії.</w:t>
      </w:r>
    </w:p>
    <w:p w:rsidR="002C5FBA" w:rsidRPr="002B43E2" w:rsidRDefault="002C5FBA" w:rsidP="002B43E2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B43E2" w:rsidRDefault="0099354A" w:rsidP="002B43E2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також розробив найдавніші закони.</w:t>
      </w:r>
    </w:p>
    <w:p w:rsidR="002C5FBA" w:rsidRDefault="002C5FBA" w:rsidP="002B43E2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C5FBA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972300" cy="3343275"/>
            <wp:effectExtent l="0" t="0" r="0" b="9525"/>
            <wp:docPr id="2" name="Рисунок 2" descr="Презентація до уроку &quot;Давній Вавило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&quot;Давній Вавилон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03" cy="33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4A" w:rsidRDefault="0099354A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текстом підручника «Закони </w:t>
      </w:r>
      <w:proofErr w:type="spellStart"/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>Хаммурапи</w:t>
      </w:r>
      <w:proofErr w:type="spellEnd"/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>. 60)</w:t>
      </w:r>
    </w:p>
    <w:p w:rsidR="00C71F23" w:rsidRDefault="00C71F23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1F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47540"/>
            <wp:effectExtent l="0" t="0" r="0" b="0"/>
            <wp:docPr id="5" name="Рисунок 5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688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E2" w:rsidRPr="002B43E2" w:rsidRDefault="002B43E2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43E2" w:rsidRDefault="0099354A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Pr="0099354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прочитати пар.14. </w:t>
      </w:r>
    </w:p>
    <w:p w:rsidR="002B43E2" w:rsidRPr="002B43E2" w:rsidRDefault="002B43E2" w:rsidP="002B43E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Письмове завдання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Прочитавши уважно закони царя </w:t>
      </w:r>
      <w:proofErr w:type="spellStart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, напишіть невелику розповідь, в якій би містилася відповідь на наступні питання: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Хто вирішував справи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 позивач доводив свою правоту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 визначалася вина людини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4. Яке покарання найчастіше передбачалося в законах царя </w:t>
      </w:r>
      <w:proofErr w:type="spellStart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5. Яку відповідальність ніс суддя за своє рішення?</w:t>
      </w:r>
    </w:p>
    <w:p w:rsidR="00ED624A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6. Які вимоги передбачалися щодо судді?</w:t>
      </w:r>
    </w:p>
    <w:p w:rsidR="00ED624A" w:rsidRPr="0099354A" w:rsidRDefault="00ED624A" w:rsidP="00ED624A">
      <w:pPr>
        <w:pStyle w:val="a3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B3F6A" w:rsidRPr="00DC2C5B" w:rsidRDefault="007B3F6A" w:rsidP="007B3F6A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9354A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46FF5"/>
    <w:rsid w:val="00B61F79"/>
    <w:rsid w:val="00BC087D"/>
    <w:rsid w:val="00BE5915"/>
    <w:rsid w:val="00C11736"/>
    <w:rsid w:val="00C145A9"/>
    <w:rsid w:val="00C367C4"/>
    <w:rsid w:val="00C37C8C"/>
    <w:rsid w:val="00C71F23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C746D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yJFti_EM6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2022-01-19T09:54:00Z</dcterms:created>
  <dcterms:modified xsi:type="dcterms:W3CDTF">2022-10-16T17:34:00Z</dcterms:modified>
</cp:coreProperties>
</file>