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Джек Лондон. " Жага до життя".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письменника, зацікавити ними; з оповіданням " Жага до життя".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(стор. 10-12). Перевірте себе ( ст. 12).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https://youtu.be/oNGKfjx2Ddg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Ознайомтеся із статтею підручника ( стор. 116-117).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Перегляньте буктрейлер: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https://youtu.be/3bwXdSGvQ7I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Словникова робота( працюємо у зошитах).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Оповідання - невеликий за обсягом прозовий твір, у якому зображено одну подію з життя одного, або декількох персонажів.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Ознаки оповідання ( " Жага до життя"):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-невеликий прозовий твір;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-невелика кількість героїв (двоє);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-однолінійний сюжет;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-невеликий проміжок часу (декілька тижнів);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-стислі описи.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Прочитайте ст. 117-119. Дайте відповіді на питання ст.119.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Визначення елементів композиції ( працюємо у зошитах).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Експозиція – опис Півночі та золотошукачів.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Зав’язка – Білл кидає свого хворого товариша.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Розвиток дій – герой бореться за життя.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Кульмінація – сутичка з вовком.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Розв’язка – порятунок героя.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Ст. 116-128.Уміти розповідати про письменника, знати зміст оповідання, уміти його переказувати, коментувати.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Повторити ст. 13-14.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