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Позакласне читання. Творчість Рудакі.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 персько-таджицькою літературою; ознайомити з фактами біографії Рудакі та особливостями його творчості; поглибити знання з теорії літератури.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 ( стор. 134).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Виразне читання напам'ять рубаї О. Хайяма.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Літературний диктант (усно).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Персько-таджицька література виникла з ...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Персько-таджицьку літературу писали мовою 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У центрі уваги персько-таджицької літератури була ...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Основна ідея персько-таджицької літератури — 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Теми персько-таджицької ліричної поезії — ...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Мусульманський Ренесанс тривав упродовж...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Розкажіть про життєвий шлях  Рудакі.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Словникова робота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Бейт (двовірш) — основна одиниця віршування, поділяється на два піввірша з однаковою кількістю складів (від 10 до 14) у кожному. За кількістю бейтів визначають обсяг певного твору. У жанрових формах лірики римуються закінчення кожного бейта, і ця рима є наскрізною в усьому творі. Бейт може бути самостійним поетичним висловом, і тоді його називають фард. Завдяки своїй завершеності, афористичному змісту фард сприймають як крилату сентенцію морального або філософсько-дидактичного (повчального) характеру.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Виразне читання та аналіз поезії.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Робота з бейтом.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Яким постає образ автора в цих поезіях?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 тебе прагне вся краса земна, / Як до провалля прагне бистрина.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 час розлуки я горю на вогнищі твоїм, / Навіщо ж деревом тобі опалювати дім?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Дай один цілунок, тільки хай він тягнеться години. / Нащо борг такий, кохано, розбивати на частини?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Робота з газеллю.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Визначте тему вірша та художні засоби, що створюють відповідний настрій поезії.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 дівчино! Розлуки буревій / 3 корінням вирвав цвіт моїх надій!Чи став би я навік твоїм рабом, / Якби не став арканом локон твій?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Хто має тільки душу, той ціни / Твого цілунку і питать не смій.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Що сонячніш горить твоя краса, / То менше світла у душі моїй.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Робота з газеллю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Визначте ідею вірша, доведіть справедливість думки автора. Чи погоджуєтесь ви з нею?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Відколи сонце сяє серед неба, / Не жив такий, кому знання не треба.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Які б віки прадавні не взяли ми — / Розумні люди мовами усіми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Знання шукали, сил не шкодували / І речення у скелю вкарбували: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«Знання для серця — світоч найясніший, / Знання для тіла — панцир найміцніший».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Робота з рубаї.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Визначити тему та ідею вірша; довести, що це рубаї.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Себе в руках весь час тримати — от справжнє благородство.Глухих, сліпих не ображати — от справжнє благородство.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Не благородство — наступити на груди бідному, що впав,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Ні, руку впалому подати — от справжнє благородство!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Робота з рубаї.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Чим утішає себе Рудакі в незгодах і які художні засоби використовує у вірші?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Ей, Рудакі, од кайданів печалі звільнись!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Завжди веселий, вперед безтурботно дивись.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Думаєш, тільки тобі одному так погано?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цілому світі не краще! Живи й не журись!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Поет був прихильником фольклорних жанрів, епічних мотивів, міфічно- казкових образів стародавньої іранської культури. Зі стародавньої іранської традиції він привніс у структуру вірша симетричність й особливу музичну чіткість. Завдяки цьому рубаї поета досягли поетичної завершеності та виразності, незважаючи на мінімальний обсяг чотиривірша.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Стиль Рудакі ще середньовічні вчені визначили як «легкий». Йому притаманні яскрава образність без манірності та надмірної ускладненості, живе сприйняття природи та олюднення її, народна простота й наспівна музичність.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Повторити вивчений матеріал (стор.112-152); підготуватися до контрольної роботи.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