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4. Що не називають родом літератури?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А епос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Б трагедія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 лірика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Г драма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Розвиток літератури різних народів, що характеризується певними закономірностями на кожному етапі від давнини до сучасності,- це...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А періодизація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Б історія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літературний процес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Г закономірність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Що лежить в основі лірики?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А ліричний сюжет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Б внутрішнє життя особистості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 плин думки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Г віршова форма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Що лежить в основі епосу?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А подія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Б портрет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пейзаж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Г монолог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 Що лежить в основі драми?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А монолог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Б діалог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 дія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Г конфлікт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Продовжте речення.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9. Література -це мистецтво ...  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10. Головною категорією словесного мистецтва є ...  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11. Функції художньої літератури: ...  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12. Взаємодія родів літератури тісно пов'язана з взаємодією ...  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