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Дж. Байрон. " Хотів би жити знов у горах...", " Мій дух як ніч...". Вплив творчості Дж. Байрона на розвиток романтизму в Європі. Протиставлення мрії і дійсності у ліриці поета. Фольклорні та біблійні мотиви у віршах Дж. Байрона.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Ознайомити учнів з життям та творчістю письменника;  акцентувати увагу на впливі поета на розвиток романтизму як напряму та зародженні байронічної течії; визначити основні мотиви його лірики; проаналізувати поезії.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Перегляньте презентацію «Біографія Дж. Байрона».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Виразне читання поезії «Хотів би жити знов у горах...»( стор.68-69).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Перегляньте відео за посиланням: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https://youtube.com/watch?v=N-1odT0bjlA&amp;feature=share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У творах Байрона постав новий тип героя — байронічний. Охоплений найглибшою меланхолією, він втратив зв’‎язок з навколишнім світом, адже рано «переситився життям». Це герой-вигнанець, герой-бунтар, сильна, пристрасна особистість, яка шукає скарбів духовних, а не матеріальних.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З образом «байронічного» героя безпосередньо пов’‎язане і поняття байронізму — ідейно-естетичної тенденції, філософського світобачення, що дістало яскраве втілення у творчості Дж. Байрона та його послідовників.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Визначення ознак байронізму ( працюємо у зошитах):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-«світова скорбота»;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неприйняття дійсності, протест проти неї, інтелектуальний бунт (зневіра у можливості переробити світ, песимізм.);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-відчуження особистості;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-розкриття суперечностей між життям людини і суспільства;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злиття ліричного героя з природою;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протиставлення мрії та життя, ідеалу і дійсності.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Поміркуйте! Усно.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♦ Чи можна пов’‎язати життєві події Байрона із поетичними рядками вірша «Хотів би жити знов у горах»?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♦ Що Байрон взяв за основу цього вірша?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♦ З ким порівнює свою душу Байрон?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♦ Що вабить ліричного героя?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♦ Який головний мотив вірша?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 Робота із літературними термінами. Усно.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-Знайти художні засоби виразності, визначити їхню роль.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-Знайти романтичні образи- символи, визначити їхню роль.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Епітети — дитя безжурне, грозове ( небо), темні (урвища та хребти),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дика й похмура (пустка);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порівняння — мов голуб до свого кубла, друзі розійшлись, як дим; метафори — душний (світ), серце стало крижаним;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риторичні спонукальні речення — На те безлюддя, до стихій!; риторичні запитання — Де ж друзів коло? та ін.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Останні рядки поезії є парафразом біблійного тексту: «Коли б я мав крила, немов голубка, то я полетів би й спочив»!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Небо — це природа, а її не можна підкорити, вона — справжня, не фальшива; гроза — прояв стихії, свобода дій, у грозовому небі вільно дихається; сонце — це символ світла, а світло — це істина; орел — символ свободи, волі, він не боїться сонця й літає вище за всіх птахів.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 Виразне читання поезії «Мій дух як ніч...» (стор. 70).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7. Складання паспорту-характеристики твору «Мій дух як ніч...» (запис у зошитах)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Паспорт-характеристика твору «Мій дух як ніч...»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Автор          Дж. Байрон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Назва          " Мій дух як ніч..."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Цикл            "Єврейські мелодії», 1814-1815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Рік написання                1815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Літературний рід         лірика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Жанр                                      поезія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Різновид                             філософська лірика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Віршовий розмір          чотиристопний ямб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Тема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Зіткнення суперечливих начал у душі людини, самотність. Провідна інтонація віршів цього циклу — це відчуття смутку, безвихідь, охоплення відчуттям «світової скорботи».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Ідея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Утвердження сили мистецтва, що просвітлює душу.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Композиція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Байрон назвав поезії цього циклу мелодіями. Вірш вражає своєю музичністю і мелодійністю.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Мотиви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Написаний за мотивами Біблії (Старий Заповіт.). В основу вірша «Мій дух як ніч» покладено звернення біблійного царя Саула до співця Давида. Цар нарікає, що душа його похмура і жадає полегшення в сльозах і просить Давида зцілити її за допомогою гри на арфі.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Образи твору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Співець зі своєю арфою має божественну силу, яка буквально здатна змінити весь світ. Але він — це лише маленька частина Мистецтва, яке може повертати втрачені надії, сподівання, ідеали, здатне звільнити людину від страждань.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Художні засоби виразності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Епітети — останній час, віщий спів, перший звук;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метафори — глас арфи воркує і тішить слух, надія в серці спить, розпадеться серце, поки мозок не згорів;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порівняння — Мій дух як ніч;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спонукальні речення — О, грай скоріш! та ін.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ДОМАШНЄ ЗАВДАННЯ: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1. Опрацювати матеріал підручника ( стор. 62-66,68-70). Питання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 стор. 68,70) усно.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2. Знати зміст поеми Дж. Байрона «Мазепа».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3. Переглянути відео за посиланням: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https://youtu.be/2XJO2nujoDE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https://youtube.com/watch?v=N-1odT0bjlA&amp;feature=share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