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темою " Нові обрії європейського роману". Тестування.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Закріпити знання учнів; виявити рівень знань, умінь і навичок для контролю й корекції.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Виконання контрольної роботи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Віктор Гюго - це видатний представник літератури: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 Просвітництва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Б романтизму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сентименталізму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 класицизму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Роман " Собор Паризької Богоматері" написаний у: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 1821 році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 1826 році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1831 році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 1841 році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Визначте жанр " Собору Паризької Богоматері":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 філософська повість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 сатиричний роман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історичний роман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Г пригодницький роман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Події роману розгортаються в Парижі: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 1482 року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 1582 року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1682 року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Г 1782 року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Хто такий Квазімодо?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А поет, що написав виставу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 волоцюга, що прийшов подивитися виставу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дзвонар Собору Паризької Богоматері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Г королівський блазень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Чому Квазімодо був відданий Клоду Фролло?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 Клод його лікував від страшної хвороби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Б Клод його навчав алхімії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 Клод підібрав його дитиною і піклувався про нього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Г Клод врятував його від шибениці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Хто з персонажів роману не загинув?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 Квазімодо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Б Клод Фролло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Есмеральда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Г Феб де Шатопер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Головний герой твору, що є німим свідком усього, що відбувається в романі: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А Король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 Собор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Париж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Г Читач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Що зберігала Есмеральда у своїй ладанці?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 черевичок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 ікону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портрет матері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Г портрет Феба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Установіть відповідність між типом кохання та персонажами: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 Шалена пристрасть, що руйнує душу.                               1 П'єр Гренгуар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 Жертовне кохання, що звеличує душу.                            2 Феб де Шатопер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Любов - гра, розвага.                                                                      3 Клод Фролло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Г Приязнь, що нагадує дружбу, але не має глибини.   4 Квазімодо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11. Що значить грецьке слово, яке побачив автор у кутку Собора Паризької Богоматері?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 Бог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 Любов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 Рок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Г Смерть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12. Як загинув Квазімодо?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 Був повішений на Гревській площі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 Помер у в'язниці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Заживо поховав себе поруч з Есмеральдою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Г Впав з мурів Собору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Підготуватися до уроку позакласного читання.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Джейн Остін. " Гордість і упередження".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