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10" w:rsidRDefault="007430AC" w:rsidP="00183E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.12</w:t>
      </w:r>
      <w:bookmarkStart w:id="0" w:name="_GoBack"/>
      <w:bookmarkEnd w:id="0"/>
      <w:r w:rsidR="00183E10">
        <w:rPr>
          <w:rFonts w:ascii="Times New Roman" w:hAnsi="Times New Roman" w:cs="Times New Roman"/>
          <w:b/>
          <w:sz w:val="28"/>
          <w:szCs w:val="28"/>
        </w:rPr>
        <w:t xml:space="preserve"> 3-А Фізична культура. </w:t>
      </w:r>
    </w:p>
    <w:p w:rsidR="00183E10" w:rsidRDefault="00183E10" w:rsidP="00183E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з великим м’ячем. Елементи баскетболу.</w:t>
      </w:r>
    </w:p>
    <w:p w:rsidR="00183E10" w:rsidRDefault="00183E10" w:rsidP="00183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м’ячем; вправлятися у виконуванні базових вправ з баскетболу: передавання м’яча двома руками зверху і знизу, ведення та передача м’яча;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183E10" w:rsidRDefault="00183E10" w:rsidP="00183E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3E10" w:rsidRDefault="00183E10" w:rsidP="00183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великим м’ячем. Виконуй вправи згідно продемонстрованого зразку.</w:t>
      </w:r>
    </w:p>
    <w:p w:rsidR="00C50A6A" w:rsidRDefault="00C50A6A" w:rsidP="00183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0A6A" w:rsidRDefault="007430AC" w:rsidP="00183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C50A6A" w:rsidRPr="00F110D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https://www.youtube.com/watch?v=xwoUwEf_suI</w:t>
        </w:r>
      </w:hyperlink>
    </w:p>
    <w:p w:rsidR="00C50A6A" w:rsidRDefault="00C50A6A" w:rsidP="00183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5C8" w:rsidRPr="00183E10" w:rsidRDefault="009D15C8">
      <w:pPr>
        <w:rPr>
          <w:lang w:val="uk-UA"/>
        </w:rPr>
      </w:pPr>
    </w:p>
    <w:sectPr w:rsidR="009D15C8" w:rsidRPr="0018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5B"/>
    <w:rsid w:val="00183E10"/>
    <w:rsid w:val="007430AC"/>
    <w:rsid w:val="009D15C8"/>
    <w:rsid w:val="00C50A6A"/>
    <w:rsid w:val="00E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EED5"/>
  <w15:chartTrackingRefBased/>
  <w15:docId w15:val="{9AAA7490-EBC0-4F5F-A987-AFA97D72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1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woUwEf_s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2022-11-10T17:50:00Z</dcterms:created>
  <dcterms:modified xsi:type="dcterms:W3CDTF">2022-11-17T06:23:00Z</dcterms:modified>
</cp:coreProperties>
</file>