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Літературна казка та її ознаки. Подібності й відмінності від народної казки.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Дати поняття про літературну казку; з'ясувати, чим літературна казка відрізняється від народної.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Пригадайте вивчене з теорії літератури.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Види читання в цифрову епоху. ( Стор. 8.)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Зарубіжна література. ( Стор. 9.)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Фольклор. Народна казка. ( Стор. 16.)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Сюжет. Мандрівний сюжет. ( Стор.31.)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Народні казки дали поштовх для фантазії багатьом митцям, які створювали власні художні твори за фольклорними зразками. Так народилася літературна казка.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Запам'ятайте! Стор. 43-44.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Літературна казка.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Оригінал.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Переклад.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Ознайомтеся з навчальним матеріалом з теми ( стор.41-43).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З'ясуйте, чим літературна казка відрізняється від народної. Усно.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Таблиця( стор. 43-44).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Дізнаємося, як розвивалася літературна казка в Україні ( стор.44).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Поміркуйте! Усно.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Які персонажі літературних казок є особливо актуальними в наш час?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Чому? З ким із них ви б хотіли зустрітися?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 Перегляньте відео за посиланням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https://youtu.be/0XwhtjLN4ok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Читати, переказувати матеріал підручника ( стор.41-44). Питання (стор. 45) усно.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