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Складання порівняльної характеристики образів Пасербниці та Рідної доньки.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Формувати навички аналізу художнього твору та порівняльної характеристики героїв казки.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Продовжуємо подорож світом літератури. Ми зупинилися на материку фольклору, в країні німецьких народних казок, які збирали брати Грімм, на острові казки "Пані Метелиця".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-Що вам відомо про братів Грімм? Яка їхня роль у збереженні народних казок?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Хто є автором казки "Пані Метелиця"?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 називалася збірка, яку видали брати Грімм в 1812р.?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Брати Грімм прагнули, щоб зібрані ними твори приносили дітям радість, щоб вони не тільки тішилися казками,а й зростали на хороших прикладах із народної мудрості.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Перевіряємо знання тексту казки. Усно.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Яку роботу виконувала Пасербниця?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Що вислизнуло з її рук і впало у криницю?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Яку роботу виконувала Пасербниця у Пані Метелиці?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пані Метелиця подарувала працьовитій дівчинці?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Чим нагородила пані Метелиця ледащицю?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Чому Пасербниця вирішила піти від пані Метелиці?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Характеристика образів персонажів казки. Усно.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Назвіть головних героїв казки.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Хто з героїв казки добрий?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-Знайдіть у творі портрет Пасербниці та Пані Метелиці. Чи відповідають вчинки і характер зовнішності? Про що це свідчить?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В яких образах казки уславлюється любов до праці?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Кого протиставлено працьовитій падчірці?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Знайдіть у тексті цитати, які підтверджують працьовитість Пасербниці та ледачість вдовиної дочки.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Складання порівняльної характеристики героїнь казки.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Падчірка.                      Вдовина дочка.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1.  Зовнішність.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...                                   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2. Вчинки.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...                                  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3. Риси характеру.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...                                    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4. Характеристика, дана в творі.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...                                     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Що уособлює смола, яку вдовина дочка за все життя відмити не змогла, та золото, яким пані Метелиця нагородила Пасербницю?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Як на прикладі образів Пасербниці та Рідної доньки розв'язується основний конфлікт казки?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Яку роль відіграє антитеза?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Перегляньте мультимедійну презентацію. (Електронний підручник,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стор.6.)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Складіть порівняльну характеристику образів Пасербниці та Рідної доньки (письмово).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