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Джон Кітс. "Про коника та цвіркуна".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Виразне декламування поезії.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Формувати уявлення про тісний зв'язок між людиною і природою; розвивати культуру мовлення, навички виразного читання та аналізу поетичного тексту; виховувати любов до навколишнього світу.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Повторюємо вивчений матеріал.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Закінчіть речення.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Зарубіжна література - ...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Виокремлюють такі види читання: ...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Різновидами вдумливого читання є ...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Способи читання: ...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Перегляньте експрес-урок. ( Електронний підручник. Стор. 6. Експрес -уроки. Експрес -урок 6. Джон Кітс. " Про коника та цвіркуна".)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https://www.academia-nikolenko-5klas.com.ua/ekspres-uroki/dzh-kits-pro-konika-ta-tsvirkuna/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Пригадайте!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вам відомо про життя та творчість поета?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Яка провідна тема поезії Дж. Кітса?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 називається опис природи у художньому творі?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Що допомагає поету майстерно зобразити картини природи?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Виразне читання - це вміння відтворити думки і почуття автора, свої власні відчуття за допомогою інтонації.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Ознайомтеся з пам'яткою " Як підготуватися до виразного читання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тексту".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Уважно перечитайте текст. Уявіть собі те, про що в ньому йдеться.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Визначте тему, основну думку, основний тон висловлювання.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Подумайте, з якою метою ви читатимете цей текст, у чому будете переконувати своїх слухачів.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Підкресліть найважливіші у змісті слова, тобто логічно наголошені.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Визначте паузи.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Продумайте, як ви можете використати інші засоби виразності усного мовлення: темп мови, гучність голосу тощо.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Виразне читання напам'ять поезії Дж. Кітса " Про коника та цвіркуна".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Літературний диктант (письмово).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Продовжте речення, записавши слово/слова,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якого/яких не вистачає в ньому, скориставшись підказками.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Умовно вірш «Про коника і цвіркуна» можна поділити на (частини) 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У першій частині вірша дія відбувається (де і коли) 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Пташки в гаю замовкли, бо (причина) 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Головним героєм першої частини вірша є (хто) 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Покоси – це (назва поняття) 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Слово «поймає» означає (поняття) 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Слова «Поезія землі не вмре ніколи» та «Поезія землі не оніміє»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означають (що) 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У другій частині поезії йдеться про (пора року) 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Головним героєм другої частини вірша є (хто) 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Головний герой другої частини вірша живе (місце) …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 Поезія «Про коника і цвіркуна» втілює думку про (що) 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12. Вірш Дж. Кітса українською мовою переклав/переклала/пере-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клали (ім’я/імена) 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