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723BE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Урок:№91</w:t>
      </w:r>
    </w:p>
    <w:p w:rsidR="001F6848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F6848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F6848" w:rsidRPr="008A7883" w:rsidRDefault="001F6848" w:rsidP="001F6848">
      <w:pPr>
        <w:spacing w:after="0"/>
        <w:ind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A7883">
        <w:rPr>
          <w:rFonts w:ascii="Times New Roman" w:hAnsi="Times New Roman" w:cs="Times New Roman"/>
          <w:bCs/>
          <w:sz w:val="28"/>
          <w:szCs w:val="28"/>
          <w:lang w:val="uk-UA"/>
        </w:rPr>
        <w:t>сприяти розвитку рухових якостей,виховувати в учнів любов до занять фізичними вправами.</w:t>
      </w:r>
    </w:p>
    <w:p w:rsidR="001827D5" w:rsidRPr="001827D5" w:rsidRDefault="001827D5" w:rsidP="001F6848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586CB3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723BE"/>
    <w:rsid w:val="001827D5"/>
    <w:rsid w:val="001B7A4F"/>
    <w:rsid w:val="001E7B4F"/>
    <w:rsid w:val="001F3536"/>
    <w:rsid w:val="001F6848"/>
    <w:rsid w:val="002D1914"/>
    <w:rsid w:val="00313CEF"/>
    <w:rsid w:val="003A7074"/>
    <w:rsid w:val="003C1B15"/>
    <w:rsid w:val="003E61D6"/>
    <w:rsid w:val="00586CB3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0425D"/>
    <w:rsid w:val="0085565D"/>
    <w:rsid w:val="00855E54"/>
    <w:rsid w:val="00873A53"/>
    <w:rsid w:val="008807D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2023-04-25T16:19:00Z</dcterms:modified>
</cp:coreProperties>
</file>