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Образи Бена і Деві, художні засоби їх створення.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Продовжити знайомство із змістом оповідання; допомогти з'ясувати основні проблеми, художні особливості твору; розвивати навички характеристики героїв.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Перевірте себе. Стор. 111. Усно.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В центрі уваги письменника завжди залишалося духовне життя людини - її внутрішні суперечності та зміни, помилки та осяяння. У пошуках сенсу життя і шляху до щастя герої Олдріджа зазвичай долають нелегкі випробування.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Перекажіть ( стисло) зміст оповідання. Усно.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Виразне читання третьої умовної частини оповідання Дж. Олдріджа «Останній дюйм».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Словникова робота.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Дюйм - одиниця вимірювання довжини, 2,54 см.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Складання паспортів-характеристик героїв оповідання. Письмово.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Батько: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Ім’‎я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Герой якого твору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Вік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Місце проживання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Професія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Рід занять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Сімейний стан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Риси характеру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Син: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Ім’‎я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Герой якого твору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Вік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Родина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Душевний стан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Риси характеру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Вчинки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6.Спостереження над текстом твору. Усно.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    Питання стор. 123-124.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♦ Яку фразу у першому і останньому описі польоту повторює автор?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♦ Що таке дюйм?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♦ Прочитайте останні рядки абзацу, де описано посадку.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Як ви гадаєте, чому автор не закінчив своє оповідання цими словами?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♦ Яку роль відіграє остання частина твору?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♦ У чому полягає перемога героїв?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♦ Чого навчила та яку допомогу надала їм екстремальна ситуація?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♦ Як ви вважаєте, чи зміняться їхні взаємини? Наведіть докази.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Батько та син ціною надзвичайних випробувань знаходять шлях до серця один одного. Цим шляхом вони будуть намагатися йти в подальшому своєму житті. Це і є авторське вирішення проблеми взаємин батька та сина в оповіданні Д. Олдріджа "Останній дюйм".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Виразно читати й переказувати оповідання, виділяти ключові епізоди, коментувати їх, висловлювати свої думки та почуття. Паспорт- характеристика героїв ( письмово). Сфотографуйте письмову роботу та надішліть мені на освітню платформу для дистанційного навчання Human або на електронну адресу ( klimenkoalla2000@gmail.com).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