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 "Середньовіччя". Тестування.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Закріпити й поглибити знання учнів із теми " Середньовіччя"; з'ясувати рівень знань, умінь і навичок для контролю й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Виконання контрольної роботи (виконуються всі завдання).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Укажіть хронологічні межі доби Середньовіччя: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а) IV—V ст.;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б) ІV—XV ст.;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в) XIV—XVI ст.;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г) XVI—XVII ст.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У літературі доби Середньовіччя утворилися два провідні напрями: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а) лицарський, любовний;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б) клерикальний, лицарський;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в) світський, клерикальний.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У давній китайській філософії найвпливовішими напрямами були: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а) даосизм, іслам;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б) буддизм, конфуціанство;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в) конфуціанство, даосизм.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Психологічний паралелізм - це: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а) зображення природи;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б) паралельне зображення природи й почуттів людини;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в) зображення почуттів людини.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У вірші Лі Бо " Сосна біля південної галереї" сосна - це символ: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а) самого поета;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б) нев'янучої краси;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в) стійкості та героїзму.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На світогляд і творчість Лі Бо особливо вплинуло вчення: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а) ісламське;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б) даосизм;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в) буддизм.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У якому вірші Ду Фу картина природи контрастує з описом зруйнованої батьківщини: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а) " Пісня про хліб і шовк";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б)" Подорожуючи, вночі ...";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в) " Весняний краєвид".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Яка мова була літературною мовою персько-таджицьких поетів: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а) перська;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б) таджицька;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в) фарсі.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Рубаї-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а) дворядкова строфа;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б) чотиривірш;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в) вірш любовного змісту.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 Омар Хайям досяг найбільших успіхів: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а) у прозі та медицині;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б) у живописі та поезії;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в) у поезії та математиці.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11. До основних тем і мотивів творчості О. Хайяма не належить: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а) кохання, дружба;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б) філософські роздуми над сенсом життя;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в) роздуми про громадянське суспільство.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12. Укажіть, яку національну літературу представляє Омар Хайям: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а) турецьку;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б) перську;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в) індійську.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13. У " Пісні про Роланда" відбувається боротьба між: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а) франками та маврами;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б) православними та католиками;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в) рабами та рабовласниками.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14. Укажіть, яка подія лягла в основу сюжету «Пісні про Роланда».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а) Заснування імперії Карла Великого;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б) битва під Сарагосою;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в) битва в Ронсевальській ущелині.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15. До якого жанру належить " Пісня про Роланда":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а) народна казка;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б) фольклорна балада;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в) героїчний епос.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16. Китайське середньовіччя охоплює: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а) V- ХV ст.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б) VІІ- ХІІІ ст.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в) ІХ - ХІ ст.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Допишіть слово: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17.У Китаї сформувалася високо розвинена цивілізація за часів правління ... 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18. У творчості Лі Бо розвивається віршована форма китайської поезії ...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19. Засновником персько-таджицької лірики став ...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20. Омар Хайям народився в ... 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21. Друг Роланда - ... 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22. Одним із поширених жанрів середньовічної літератури був героїчний ... 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23-24. Установіть відповідність між автором і цитатою з твору: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1 Лі Бо.                    А " Себе в руках весь час тримати - ... благородство."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2 Ду Фу.                  Б " Боюсь неправедно прожити на землі."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3 Омар Хайям.  В " Якби ж ми переплавити могли ті лати на орала..."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4 Рудакі.                Г " На яшмових сходах біліє холодна роса...".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Опрацювати матеріал підручника ( стор. 135-152).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