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та систематизація навчального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Повторити й узагальнити вивчений матеріал;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Завершується навчальний рік. Під час канікул ви маєте можливість спілкуватися з друзями чи допомагати батькам, досхочу займатися улюбленою справою або ж познайомитися з цікавою книжкою, яка може стати чудовим товаришем та порадником у житті.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Розгляньте форзац.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Пригадайте вивчений протягом року матеріал.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Священні книги.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Античність.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Середньовіччя.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Відродження.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Бароко і класицизм.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Розкажіть про епоху або напрям ( загальна характеристика).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Літературна вікторина.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Які три основні драматичні жанри сформувалися у Давній Греції?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Що покладено в основу трагедії Есхіла "Прометей закутий"?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Які національні культури належать до східних?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Хто із середньовічних поетів Сходу мав енциклопедичні знання з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різних галузей?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Як називається чотиривірш філософсько-ліричного змісту?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Назвіть французький відповідник слова Відродження.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За який твір Ф. Петрарку увінчали лавровим вінком?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Назвіть митців доби Відродження.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Який світоглядний напрям став основою доби Відродження?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Який " чин" присвоїв Журденові син турецького султана?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Ознайомтеся зі списком літератури, рекомендованої для читання влітку.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Джонатан Свіфт. " Мандри Лемюеля Гуллівера"(Ічастина).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Джордж Ноел Гордон Байрон. " Мазепа".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Віктор Гюго. " Собор Паризької Богоматері".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Оноре де Бальзак. " Гобсек". " Шагренева шкіра".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М. В. Гоголь. " Ревізор". " Шинель". " Портрет".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Генрік Ібсен. " Ляльковий дім".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Бернард Шоу. " Пігмаліон".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Рей Дуглас Бредбері. " 451 градус за Фаренгейтом ".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Ерік Вольф Сігел. " Історія одного кохання".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Читати книги за рекомендованим списком.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