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60" w:rsidRDefault="00C60C60" w:rsidP="00C60C60">
      <w:pPr>
        <w:ind w:left="567"/>
        <w:rPr>
          <w:rFonts w:ascii="Times New Roman" w:hAnsi="Times New Roman" w:cs="Times New Roman"/>
          <w:b/>
          <w:sz w:val="28"/>
          <w:szCs w:val="28"/>
          <w:lang w:val="uk-UA"/>
        </w:rPr>
      </w:pPr>
      <w:r>
        <w:rPr>
          <w:rFonts w:ascii="Times New Roman" w:hAnsi="Times New Roman" w:cs="Times New Roman"/>
          <w:b/>
          <w:sz w:val="28"/>
          <w:szCs w:val="28"/>
          <w:lang w:val="uk-UA"/>
        </w:rPr>
        <w:t>17.04.2023</w:t>
      </w:r>
    </w:p>
    <w:p w:rsidR="00C60C60" w:rsidRDefault="00C60C60" w:rsidP="00C60C60">
      <w:pPr>
        <w:ind w:left="567"/>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C60C60" w:rsidRDefault="00C60C60" w:rsidP="00C60C60">
      <w:pPr>
        <w:ind w:left="567"/>
        <w:rPr>
          <w:rFonts w:ascii="Times New Roman" w:hAnsi="Times New Roman" w:cs="Times New Roman"/>
          <w:b/>
          <w:sz w:val="28"/>
          <w:szCs w:val="28"/>
          <w:lang w:val="uk-UA"/>
        </w:rPr>
      </w:pPr>
      <w:r>
        <w:rPr>
          <w:rFonts w:ascii="Times New Roman" w:hAnsi="Times New Roman" w:cs="Times New Roman"/>
          <w:b/>
          <w:sz w:val="28"/>
          <w:szCs w:val="28"/>
          <w:lang w:val="uk-UA"/>
        </w:rPr>
        <w:t>9 клас</w:t>
      </w:r>
    </w:p>
    <w:p w:rsidR="00C60C60" w:rsidRDefault="00C60C60" w:rsidP="00C60C60">
      <w:pPr>
        <w:ind w:left="567"/>
        <w:rPr>
          <w:rFonts w:ascii="Times New Roman" w:hAnsi="Times New Roman" w:cs="Times New Roman"/>
          <w:b/>
          <w:sz w:val="28"/>
          <w:szCs w:val="28"/>
          <w:lang w:val="uk-UA"/>
        </w:rPr>
      </w:pPr>
      <w:r>
        <w:rPr>
          <w:rFonts w:ascii="Times New Roman" w:hAnsi="Times New Roman" w:cs="Times New Roman"/>
          <w:b/>
          <w:sz w:val="28"/>
          <w:szCs w:val="28"/>
          <w:lang w:val="uk-UA"/>
        </w:rPr>
        <w:t>Стрембицька Л.А.</w:t>
      </w:r>
    </w:p>
    <w:p w:rsidR="00C60C60" w:rsidRDefault="00C60C60" w:rsidP="00C60C60">
      <w:pPr>
        <w:ind w:left="567"/>
        <w:rPr>
          <w:rFonts w:ascii="Times New Roman" w:hAnsi="Times New Roman" w:cs="Times New Roman"/>
          <w:b/>
          <w:sz w:val="28"/>
          <w:szCs w:val="28"/>
          <w:lang w:val="uk-UA"/>
        </w:rPr>
      </w:pPr>
      <w:r>
        <w:rPr>
          <w:rFonts w:ascii="Times New Roman" w:hAnsi="Times New Roman" w:cs="Times New Roman"/>
          <w:b/>
          <w:sz w:val="28"/>
          <w:szCs w:val="28"/>
          <w:lang w:val="uk-UA"/>
        </w:rPr>
        <w:t>Тема: Повторення вивчених розділових знаків у простому і складному реченнях</w:t>
      </w:r>
    </w:p>
    <w:p w:rsidR="00C60C60" w:rsidRDefault="00C60C60" w:rsidP="00C60C60">
      <w:pPr>
        <w:ind w:left="567"/>
        <w:rPr>
          <w:rFonts w:ascii="Times New Roman" w:hAnsi="Times New Roman" w:cs="Times New Roman"/>
          <w:sz w:val="28"/>
          <w:szCs w:val="28"/>
          <w:lang w:val="uk-UA"/>
        </w:rPr>
      </w:pPr>
      <w:r>
        <w:rPr>
          <w:rFonts w:ascii="Times New Roman" w:hAnsi="Times New Roman" w:cs="Times New Roman"/>
          <w:sz w:val="28"/>
          <w:szCs w:val="28"/>
          <w:lang w:val="uk-UA"/>
        </w:rPr>
        <w:t>Мета:  повторити й закріпити знання про пунктуацію; зміцнювати сформовані навички з пунктуації, синтаксису,уміння аналізувати синтаксичні конструкції різного типу , аргументовано коментувати розділові знаки в них; розвивати увагу, культуру мовлення; виховувати любов до мови, народу, нац. свідомість.</w:t>
      </w:r>
    </w:p>
    <w:p w:rsidR="00C60C60" w:rsidRDefault="00C60C60" w:rsidP="00C60C60">
      <w:pPr>
        <w:ind w:left="567"/>
        <w:rPr>
          <w:rFonts w:ascii="Times New Roman" w:hAnsi="Times New Roman" w:cs="Times New Roman"/>
          <w:sz w:val="28"/>
          <w:szCs w:val="28"/>
          <w:lang w:val="uk-UA"/>
        </w:rPr>
      </w:pPr>
      <w:r>
        <w:rPr>
          <w:rFonts w:ascii="Times New Roman" w:hAnsi="Times New Roman" w:cs="Times New Roman"/>
          <w:sz w:val="28"/>
          <w:szCs w:val="28"/>
          <w:lang w:val="uk-UA"/>
        </w:rPr>
        <w:t>До  пунктуаційної грамотності слід ставитися так само вимогливо, як і до орфографічної. Дехто гадає, що пунктуаційні помилки менш грубі, ніж орфографічні, тому на них не варто особливо зважати. Тим часом недоречно вжитий розділовий знак або його відсутність спотворює зміст висловлювання. Українська пунктуація побудована на 3 основних принципах – граматичному, смисловому та інтонаційному.</w:t>
      </w:r>
    </w:p>
    <w:p w:rsidR="00C60C60" w:rsidRDefault="00C60C60" w:rsidP="00C60C60">
      <w:pPr>
        <w:ind w:left="567"/>
        <w:rPr>
          <w:rFonts w:ascii="Times New Roman" w:hAnsi="Times New Roman" w:cs="Times New Roman"/>
          <w:sz w:val="28"/>
          <w:szCs w:val="28"/>
          <w:lang w:val="uk-UA"/>
        </w:rPr>
      </w:pPr>
      <w:r>
        <w:rPr>
          <w:rFonts w:ascii="Times New Roman" w:hAnsi="Times New Roman" w:cs="Times New Roman"/>
          <w:sz w:val="28"/>
          <w:szCs w:val="28"/>
          <w:lang w:val="uk-UA"/>
        </w:rPr>
        <w:t>Граматичний принцип вимагає при виборі розділового знака керуватися знаннями граматики (синтаксису), синтаксичної структури речення, вмінням застосовувати синтаксичні правила.</w:t>
      </w:r>
    </w:p>
    <w:p w:rsidR="00C60C60" w:rsidRDefault="00C60C60" w:rsidP="00C60C60">
      <w:pPr>
        <w:ind w:left="567"/>
        <w:rPr>
          <w:rFonts w:ascii="Times New Roman" w:hAnsi="Times New Roman" w:cs="Times New Roman"/>
          <w:sz w:val="28"/>
          <w:szCs w:val="28"/>
          <w:lang w:val="uk-UA"/>
        </w:rPr>
      </w:pPr>
      <w:r>
        <w:rPr>
          <w:rFonts w:ascii="Times New Roman" w:hAnsi="Times New Roman" w:cs="Times New Roman"/>
          <w:sz w:val="28"/>
          <w:szCs w:val="28"/>
          <w:lang w:val="uk-UA"/>
        </w:rPr>
        <w:t>Смисловий принцип – розділові знаки ставляться залежно від змісту, який прагне передати той, хто пише.</w:t>
      </w:r>
    </w:p>
    <w:p w:rsidR="00C60C60" w:rsidRDefault="00C60C60" w:rsidP="00C60C60">
      <w:pPr>
        <w:ind w:left="567"/>
        <w:rPr>
          <w:rFonts w:ascii="Times New Roman" w:hAnsi="Times New Roman" w:cs="Times New Roman"/>
          <w:sz w:val="28"/>
          <w:szCs w:val="28"/>
          <w:lang w:val="uk-UA"/>
        </w:rPr>
      </w:pPr>
      <w:r>
        <w:rPr>
          <w:rFonts w:ascii="Times New Roman" w:hAnsi="Times New Roman" w:cs="Times New Roman"/>
          <w:sz w:val="28"/>
          <w:szCs w:val="28"/>
          <w:lang w:val="uk-UA"/>
        </w:rPr>
        <w:t>Інтонаційний принцип зумовлює вибір розділового знака з урахуванням інтонації.</w:t>
      </w:r>
    </w:p>
    <w:p w:rsidR="00C60C60" w:rsidRDefault="00C60C60" w:rsidP="00C60C60">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Але ставити розділові знаки «по слуху» не можна .</w:t>
      </w:r>
    </w:p>
    <w:p w:rsidR="00C60C60" w:rsidRDefault="00C60C60" w:rsidP="00C60C60">
      <w:pPr>
        <w:pStyle w:val="a4"/>
        <w:numPr>
          <w:ilvl w:val="0"/>
          <w:numId w:val="1"/>
        </w:numPr>
        <w:shd w:val="clear" w:color="auto" w:fill="FFDF93"/>
        <w:spacing w:before="0" w:beforeAutospacing="0" w:after="150" w:afterAutospacing="0" w:line="300" w:lineRule="atLeast"/>
        <w:jc w:val="center"/>
        <w:rPr>
          <w:color w:val="333333"/>
          <w:sz w:val="28"/>
          <w:szCs w:val="28"/>
        </w:rPr>
      </w:pPr>
      <w:r>
        <w:rPr>
          <w:b/>
          <w:bCs/>
          <w:color w:val="333333"/>
          <w:sz w:val="28"/>
          <w:szCs w:val="28"/>
        </w:rPr>
        <w:t>РОЗДІЛОВІ ЗНАКИ ПРИ ВСТАВЛЕНИХ КОНСТРУКЦІЯХ </w:t>
      </w:r>
    </w:p>
    <w:tbl>
      <w:tblPr>
        <w:tblW w:w="11207" w:type="dxa"/>
        <w:tblBorders>
          <w:top w:val="outset" w:sz="6" w:space="0" w:color="auto"/>
          <w:left w:val="outset" w:sz="6" w:space="0" w:color="auto"/>
          <w:bottom w:val="outset" w:sz="6" w:space="0" w:color="auto"/>
          <w:right w:val="outset" w:sz="6" w:space="0" w:color="auto"/>
        </w:tblBorders>
        <w:shd w:val="clear" w:color="auto" w:fill="FFDF93"/>
        <w:tblCellMar>
          <w:left w:w="0" w:type="dxa"/>
          <w:right w:w="0" w:type="dxa"/>
        </w:tblCellMar>
        <w:tblLook w:val="04A0"/>
      </w:tblPr>
      <w:tblGrid>
        <w:gridCol w:w="3269"/>
        <w:gridCol w:w="3402"/>
        <w:gridCol w:w="4536"/>
      </w:tblGrid>
      <w:tr w:rsidR="00C60C60" w:rsidTr="00C60C60">
        <w:tc>
          <w:tcPr>
            <w:tcW w:w="3269" w:type="dxa"/>
            <w:tcBorders>
              <w:top w:val="outset" w:sz="6" w:space="0" w:color="auto"/>
              <w:left w:val="outset" w:sz="6" w:space="0" w:color="auto"/>
              <w:bottom w:val="outset" w:sz="6" w:space="0" w:color="auto"/>
              <w:right w:val="outset" w:sz="6" w:space="0" w:color="auto"/>
            </w:tcBorders>
            <w:shd w:val="clear" w:color="auto" w:fill="FFDF93"/>
            <w:hideMark/>
          </w:tcPr>
          <w:p w:rsidR="00C60C60" w:rsidRDefault="00C60C60">
            <w:pPr>
              <w:pStyle w:val="a4"/>
              <w:spacing w:before="0" w:beforeAutospacing="0" w:after="150" w:afterAutospacing="0" w:line="300" w:lineRule="atLeast"/>
              <w:jc w:val="center"/>
              <w:rPr>
                <w:color w:val="333333"/>
                <w:sz w:val="28"/>
                <w:szCs w:val="28"/>
              </w:rPr>
            </w:pPr>
            <w:r>
              <w:rPr>
                <w:color w:val="333333"/>
                <w:sz w:val="28"/>
                <w:szCs w:val="28"/>
              </w:rPr>
              <w:t>Дужки</w:t>
            </w:r>
          </w:p>
        </w:tc>
        <w:tc>
          <w:tcPr>
            <w:tcW w:w="3402" w:type="dxa"/>
            <w:tcBorders>
              <w:top w:val="outset" w:sz="6" w:space="0" w:color="auto"/>
              <w:left w:val="outset" w:sz="6" w:space="0" w:color="auto"/>
              <w:bottom w:val="outset" w:sz="6" w:space="0" w:color="auto"/>
              <w:right w:val="outset" w:sz="6" w:space="0" w:color="auto"/>
            </w:tcBorders>
            <w:shd w:val="clear" w:color="auto" w:fill="FFDF93"/>
            <w:hideMark/>
          </w:tcPr>
          <w:p w:rsidR="00C60C60" w:rsidRDefault="00C60C60">
            <w:pPr>
              <w:pStyle w:val="a4"/>
              <w:spacing w:before="0" w:beforeAutospacing="0" w:after="150" w:afterAutospacing="0" w:line="300" w:lineRule="atLeast"/>
              <w:jc w:val="center"/>
              <w:rPr>
                <w:color w:val="333333"/>
                <w:sz w:val="28"/>
                <w:szCs w:val="28"/>
              </w:rPr>
            </w:pPr>
            <w:r>
              <w:rPr>
                <w:color w:val="333333"/>
                <w:sz w:val="28"/>
                <w:szCs w:val="28"/>
              </w:rPr>
              <w:t>Кома</w:t>
            </w:r>
          </w:p>
        </w:tc>
        <w:tc>
          <w:tcPr>
            <w:tcW w:w="4536" w:type="dxa"/>
            <w:tcBorders>
              <w:top w:val="outset" w:sz="6" w:space="0" w:color="auto"/>
              <w:left w:val="outset" w:sz="6" w:space="0" w:color="auto"/>
              <w:bottom w:val="outset" w:sz="6" w:space="0" w:color="auto"/>
              <w:right w:val="outset" w:sz="6" w:space="0" w:color="auto"/>
            </w:tcBorders>
            <w:shd w:val="clear" w:color="auto" w:fill="FFDF93"/>
            <w:hideMark/>
          </w:tcPr>
          <w:p w:rsidR="00C60C60" w:rsidRDefault="00C60C60">
            <w:pPr>
              <w:pStyle w:val="a4"/>
              <w:spacing w:before="0" w:beforeAutospacing="0" w:after="150" w:afterAutospacing="0" w:line="300" w:lineRule="atLeast"/>
              <w:jc w:val="center"/>
              <w:rPr>
                <w:color w:val="333333"/>
                <w:sz w:val="28"/>
                <w:szCs w:val="28"/>
              </w:rPr>
            </w:pPr>
            <w:r>
              <w:rPr>
                <w:color w:val="333333"/>
                <w:sz w:val="28"/>
                <w:szCs w:val="28"/>
              </w:rPr>
              <w:t>Тире</w:t>
            </w:r>
          </w:p>
        </w:tc>
      </w:tr>
      <w:tr w:rsidR="00C60C60" w:rsidTr="00C60C60">
        <w:tc>
          <w:tcPr>
            <w:tcW w:w="3269" w:type="dxa"/>
            <w:tcBorders>
              <w:top w:val="outset" w:sz="6" w:space="0" w:color="auto"/>
              <w:left w:val="outset" w:sz="6" w:space="0" w:color="auto"/>
              <w:bottom w:val="outset" w:sz="6" w:space="0" w:color="auto"/>
              <w:right w:val="outset" w:sz="6" w:space="0" w:color="auto"/>
            </w:tcBorders>
            <w:shd w:val="clear" w:color="auto" w:fill="FFDF93"/>
            <w:hideMark/>
          </w:tcPr>
          <w:p w:rsidR="00C60C60" w:rsidRDefault="00C60C60">
            <w:pPr>
              <w:pStyle w:val="a4"/>
              <w:spacing w:before="0" w:beforeAutospacing="0" w:after="150" w:afterAutospacing="0" w:line="300" w:lineRule="atLeast"/>
              <w:rPr>
                <w:color w:val="333333"/>
                <w:sz w:val="28"/>
                <w:szCs w:val="28"/>
              </w:rPr>
            </w:pPr>
            <w:r>
              <w:rPr>
                <w:color w:val="333333"/>
                <w:sz w:val="28"/>
                <w:szCs w:val="28"/>
              </w:rPr>
              <w:t>Якщо вставлені конструкції вимовляються таким само тоном, як основне</w:t>
            </w:r>
            <w:r>
              <w:rPr>
                <w:rStyle w:val="apple-converted-space"/>
                <w:color w:val="333333"/>
                <w:sz w:val="28"/>
                <w:szCs w:val="28"/>
              </w:rPr>
              <w:t> </w:t>
            </w:r>
            <w:hyperlink r:id="rId5" w:tooltip="Речення" w:history="1">
              <w:r>
                <w:rPr>
                  <w:rStyle w:val="a3"/>
                  <w:color w:val="0070A8"/>
                  <w:sz w:val="28"/>
                  <w:szCs w:val="28"/>
                </w:rPr>
                <w:t>речення</w:t>
              </w:r>
            </w:hyperlink>
            <w:r>
              <w:rPr>
                <w:color w:val="333333"/>
                <w:sz w:val="28"/>
                <w:szCs w:val="28"/>
              </w:rPr>
              <w:t>:</w:t>
            </w:r>
          </w:p>
          <w:p w:rsidR="00C60C60" w:rsidRDefault="00C60C60">
            <w:pPr>
              <w:pStyle w:val="a4"/>
              <w:spacing w:before="0" w:beforeAutospacing="0" w:after="150" w:afterAutospacing="0" w:line="300" w:lineRule="atLeast"/>
              <w:rPr>
                <w:color w:val="333333"/>
                <w:sz w:val="28"/>
                <w:szCs w:val="28"/>
              </w:rPr>
            </w:pPr>
            <w:r>
              <w:rPr>
                <w:color w:val="333333"/>
                <w:sz w:val="28"/>
                <w:szCs w:val="28"/>
              </w:rPr>
              <w:t xml:space="preserve">Для того щоб навчитися гарно говорити у вузькому </w:t>
            </w:r>
            <w:r>
              <w:rPr>
                <w:color w:val="333333"/>
                <w:sz w:val="28"/>
                <w:szCs w:val="28"/>
              </w:rPr>
              <w:lastRenderedPageBreak/>
              <w:t>колі (про це вже йшлося в першій частині книги), треба вміти бачити, слухати й запам’ятовувати все нове й цікаве.</w:t>
            </w:r>
          </w:p>
        </w:tc>
        <w:tc>
          <w:tcPr>
            <w:tcW w:w="3402" w:type="dxa"/>
            <w:tcBorders>
              <w:top w:val="outset" w:sz="6" w:space="0" w:color="auto"/>
              <w:left w:val="outset" w:sz="6" w:space="0" w:color="auto"/>
              <w:bottom w:val="outset" w:sz="6" w:space="0" w:color="auto"/>
              <w:right w:val="outset" w:sz="6" w:space="0" w:color="auto"/>
            </w:tcBorders>
            <w:shd w:val="clear" w:color="auto" w:fill="FFDF93"/>
            <w:hideMark/>
          </w:tcPr>
          <w:p w:rsidR="00C60C60" w:rsidRDefault="00C60C60">
            <w:pPr>
              <w:pStyle w:val="a4"/>
              <w:spacing w:before="0" w:beforeAutospacing="0" w:after="150" w:afterAutospacing="0" w:line="300" w:lineRule="atLeast"/>
              <w:rPr>
                <w:color w:val="333333"/>
                <w:sz w:val="28"/>
                <w:szCs w:val="28"/>
              </w:rPr>
            </w:pPr>
            <w:r>
              <w:rPr>
                <w:color w:val="333333"/>
                <w:sz w:val="28"/>
                <w:szCs w:val="28"/>
              </w:rPr>
              <w:lastRenderedPageBreak/>
              <w:t>Якщо вставлені конструкції вимовляються пониженим тоном порівняно з основним реченням:</w:t>
            </w:r>
          </w:p>
          <w:p w:rsidR="00C60C60" w:rsidRDefault="00C60C60">
            <w:pPr>
              <w:pStyle w:val="a4"/>
              <w:spacing w:before="0" w:beforeAutospacing="0" w:after="150" w:afterAutospacing="0" w:line="300" w:lineRule="atLeast"/>
              <w:rPr>
                <w:color w:val="333333"/>
                <w:sz w:val="28"/>
                <w:szCs w:val="28"/>
              </w:rPr>
            </w:pPr>
            <w:r>
              <w:rPr>
                <w:color w:val="333333"/>
                <w:sz w:val="28"/>
                <w:szCs w:val="28"/>
              </w:rPr>
              <w:t xml:space="preserve">Іноді хтось у товаристві почне розповідати пригоду, </w:t>
            </w:r>
            <w:r>
              <w:rPr>
                <w:color w:val="333333"/>
                <w:sz w:val="28"/>
                <w:szCs w:val="28"/>
              </w:rPr>
              <w:lastRenderedPageBreak/>
              <w:t>яка, ви в цьому переконані, може образити когось з присутніх.</w:t>
            </w:r>
          </w:p>
        </w:tc>
        <w:tc>
          <w:tcPr>
            <w:tcW w:w="4536" w:type="dxa"/>
            <w:tcBorders>
              <w:top w:val="outset" w:sz="6" w:space="0" w:color="auto"/>
              <w:left w:val="outset" w:sz="6" w:space="0" w:color="auto"/>
              <w:bottom w:val="outset" w:sz="6" w:space="0" w:color="auto"/>
              <w:right w:val="outset" w:sz="6" w:space="0" w:color="auto"/>
            </w:tcBorders>
            <w:shd w:val="clear" w:color="auto" w:fill="FFDF93"/>
            <w:hideMark/>
          </w:tcPr>
          <w:p w:rsidR="00C60C60" w:rsidRDefault="00C60C60">
            <w:pPr>
              <w:pStyle w:val="a4"/>
              <w:spacing w:before="0" w:beforeAutospacing="0" w:after="150" w:afterAutospacing="0" w:line="300" w:lineRule="atLeast"/>
              <w:rPr>
                <w:color w:val="333333"/>
                <w:sz w:val="28"/>
                <w:szCs w:val="28"/>
              </w:rPr>
            </w:pPr>
            <w:r>
              <w:rPr>
                <w:color w:val="333333"/>
                <w:sz w:val="28"/>
                <w:szCs w:val="28"/>
              </w:rPr>
              <w:lastRenderedPageBreak/>
              <w:t>Якщо вставлені конструкції вимовляються підвищеним тоном порівняно з основним реченням:</w:t>
            </w:r>
          </w:p>
          <w:p w:rsidR="00C60C60" w:rsidRDefault="00C60C60">
            <w:pPr>
              <w:pStyle w:val="a4"/>
              <w:spacing w:before="0" w:beforeAutospacing="0" w:after="150" w:afterAutospacing="0" w:line="300" w:lineRule="atLeast"/>
              <w:rPr>
                <w:color w:val="333333"/>
                <w:sz w:val="28"/>
                <w:szCs w:val="28"/>
              </w:rPr>
            </w:pPr>
            <w:r>
              <w:rPr>
                <w:color w:val="333333"/>
                <w:sz w:val="28"/>
                <w:szCs w:val="28"/>
              </w:rPr>
              <w:t xml:space="preserve">Радимо не лишати поза увагою позитивні риси та якості – хай навіть не яскраво виражені – людей, що нас </w:t>
            </w:r>
            <w:r>
              <w:rPr>
                <w:color w:val="333333"/>
                <w:sz w:val="28"/>
                <w:szCs w:val="28"/>
              </w:rPr>
              <w:lastRenderedPageBreak/>
              <w:t>оточують, і висловлювати схвалення й визнання, де це доречно.</w:t>
            </w:r>
          </w:p>
        </w:tc>
      </w:tr>
    </w:tbl>
    <w:p w:rsidR="00C60C60" w:rsidRDefault="00C60C60" w:rsidP="00C60C60">
      <w:pPr>
        <w:ind w:left="567"/>
        <w:rPr>
          <w:rFonts w:ascii="Times New Roman" w:hAnsi="Times New Roman" w:cs="Times New Roman"/>
          <w:sz w:val="28"/>
          <w:szCs w:val="28"/>
        </w:rPr>
      </w:pPr>
    </w:p>
    <w:p w:rsidR="00C60C60" w:rsidRDefault="00C60C60" w:rsidP="00C60C60">
      <w:pPr>
        <w:ind w:left="284"/>
        <w:rPr>
          <w:rFonts w:ascii="Times New Roman" w:hAnsi="Times New Roman" w:cs="Times New Roman"/>
          <w:sz w:val="28"/>
          <w:szCs w:val="28"/>
          <w:lang w:val="uk-UA"/>
        </w:rPr>
      </w:pPr>
      <w:r>
        <w:rPr>
          <w:rFonts w:ascii="Times New Roman" w:hAnsi="Times New Roman" w:cs="Times New Roman"/>
          <w:sz w:val="28"/>
          <w:szCs w:val="28"/>
          <w:lang w:val="uk-UA"/>
        </w:rPr>
        <w:t>З</w:t>
      </w:r>
      <w:r>
        <w:rPr>
          <w:rFonts w:ascii="Times New Roman" w:hAnsi="Times New Roman" w:cs="Times New Roman"/>
          <w:sz w:val="28"/>
          <w:szCs w:val="28"/>
        </w:rPr>
        <w:t>’</w:t>
      </w:r>
      <w:r>
        <w:rPr>
          <w:rFonts w:ascii="Times New Roman" w:hAnsi="Times New Roman" w:cs="Times New Roman"/>
          <w:sz w:val="28"/>
          <w:szCs w:val="28"/>
          <w:lang w:val="uk-UA"/>
        </w:rPr>
        <w:t>ясувати, чому в поданих простих реченнях між підметом і присудком тире не ставиться.</w:t>
      </w:r>
    </w:p>
    <w:p w:rsidR="00C60C60" w:rsidRDefault="00C60C60" w:rsidP="00C60C60">
      <w:pPr>
        <w:pStyle w:val="a5"/>
        <w:numPr>
          <w:ilvl w:val="0"/>
          <w:numId w:val="2"/>
        </w:numPr>
        <w:spacing w:after="160"/>
        <w:ind w:left="567"/>
        <w:rPr>
          <w:sz w:val="28"/>
          <w:szCs w:val="28"/>
          <w:lang w:val="uk-UA"/>
        </w:rPr>
      </w:pPr>
      <w:r>
        <w:rPr>
          <w:sz w:val="28"/>
          <w:szCs w:val="28"/>
          <w:lang w:val="uk-UA"/>
        </w:rPr>
        <w:t>Серце не камінь (</w:t>
      </w:r>
      <w:r>
        <w:rPr>
          <w:i/>
          <w:sz w:val="28"/>
          <w:szCs w:val="28"/>
          <w:lang w:val="uk-UA"/>
        </w:rPr>
        <w:t>Нар. творч</w:t>
      </w:r>
      <w:r>
        <w:rPr>
          <w:sz w:val="28"/>
          <w:szCs w:val="28"/>
          <w:lang w:val="uk-UA"/>
        </w:rPr>
        <w:t>.)</w:t>
      </w:r>
    </w:p>
    <w:p w:rsidR="00C60C60" w:rsidRDefault="00C60C60" w:rsidP="00C60C60">
      <w:pPr>
        <w:pStyle w:val="a5"/>
        <w:numPr>
          <w:ilvl w:val="0"/>
          <w:numId w:val="2"/>
        </w:numPr>
        <w:spacing w:after="160"/>
        <w:ind w:left="567"/>
        <w:rPr>
          <w:sz w:val="28"/>
          <w:szCs w:val="28"/>
          <w:lang w:val="uk-UA"/>
        </w:rPr>
      </w:pPr>
      <w:r>
        <w:rPr>
          <w:sz w:val="28"/>
          <w:szCs w:val="28"/>
          <w:lang w:val="uk-UA"/>
        </w:rPr>
        <w:t>Дівчинка як ластівочка (</w:t>
      </w:r>
      <w:r>
        <w:rPr>
          <w:i/>
          <w:sz w:val="28"/>
          <w:szCs w:val="28"/>
          <w:lang w:val="uk-UA"/>
        </w:rPr>
        <w:t>П.Тичина</w:t>
      </w:r>
      <w:r>
        <w:rPr>
          <w:sz w:val="28"/>
          <w:szCs w:val="28"/>
          <w:lang w:val="uk-UA"/>
        </w:rPr>
        <w:t>).</w:t>
      </w:r>
    </w:p>
    <w:p w:rsidR="00C60C60" w:rsidRDefault="00C60C60" w:rsidP="00C60C60">
      <w:pPr>
        <w:pStyle w:val="a5"/>
        <w:numPr>
          <w:ilvl w:val="0"/>
          <w:numId w:val="2"/>
        </w:numPr>
        <w:spacing w:after="160"/>
        <w:ind w:left="567"/>
        <w:rPr>
          <w:sz w:val="28"/>
          <w:szCs w:val="28"/>
          <w:lang w:val="uk-UA"/>
        </w:rPr>
      </w:pPr>
      <w:r>
        <w:rPr>
          <w:sz w:val="28"/>
          <w:szCs w:val="28"/>
          <w:lang w:val="uk-UA"/>
        </w:rPr>
        <w:t>Ми весни гінці крилаті, знаменосці днів нових (</w:t>
      </w:r>
      <w:r>
        <w:rPr>
          <w:i/>
          <w:sz w:val="28"/>
          <w:szCs w:val="28"/>
          <w:lang w:val="uk-UA"/>
        </w:rPr>
        <w:t>В.Сосюра</w:t>
      </w:r>
      <w:r>
        <w:rPr>
          <w:sz w:val="28"/>
          <w:szCs w:val="28"/>
          <w:lang w:val="uk-UA"/>
        </w:rPr>
        <w:t xml:space="preserve">). </w:t>
      </w:r>
    </w:p>
    <w:p w:rsidR="00C60C60" w:rsidRDefault="00C60C60" w:rsidP="00C60C60">
      <w:pPr>
        <w:pStyle w:val="a5"/>
        <w:numPr>
          <w:ilvl w:val="0"/>
          <w:numId w:val="2"/>
        </w:numPr>
        <w:spacing w:after="160"/>
        <w:ind w:left="567"/>
        <w:rPr>
          <w:sz w:val="28"/>
          <w:szCs w:val="28"/>
          <w:lang w:val="uk-UA"/>
        </w:rPr>
      </w:pPr>
      <w:r>
        <w:rPr>
          <w:sz w:val="28"/>
          <w:szCs w:val="28"/>
          <w:lang w:val="uk-UA"/>
        </w:rPr>
        <w:t>Будинок культури, безперечно, пам</w:t>
      </w:r>
      <w:r>
        <w:rPr>
          <w:sz w:val="28"/>
          <w:szCs w:val="28"/>
        </w:rPr>
        <w:t>’ятка</w:t>
      </w:r>
      <w:r>
        <w:rPr>
          <w:sz w:val="28"/>
          <w:szCs w:val="28"/>
          <w:lang w:val="uk-UA"/>
        </w:rPr>
        <w:t xml:space="preserve"> </w:t>
      </w:r>
      <w:r>
        <w:rPr>
          <w:sz w:val="28"/>
          <w:szCs w:val="28"/>
        </w:rPr>
        <w:t>архітектури</w:t>
      </w:r>
      <w:r>
        <w:rPr>
          <w:sz w:val="28"/>
          <w:szCs w:val="28"/>
          <w:lang w:val="uk-UA"/>
        </w:rPr>
        <w:t>(</w:t>
      </w:r>
      <w:r>
        <w:rPr>
          <w:i/>
          <w:sz w:val="28"/>
          <w:szCs w:val="28"/>
          <w:lang w:val="uk-UA"/>
        </w:rPr>
        <w:t>3 газ.)</w:t>
      </w:r>
    </w:p>
    <w:p w:rsidR="00C60C60" w:rsidRDefault="00C60C60" w:rsidP="00C60C60">
      <w:pPr>
        <w:pStyle w:val="a5"/>
        <w:numPr>
          <w:ilvl w:val="0"/>
          <w:numId w:val="2"/>
        </w:numPr>
        <w:spacing w:after="160"/>
        <w:ind w:left="567"/>
        <w:rPr>
          <w:sz w:val="28"/>
          <w:szCs w:val="28"/>
          <w:lang w:val="uk-UA"/>
        </w:rPr>
      </w:pPr>
      <w:r>
        <w:rPr>
          <w:sz w:val="28"/>
          <w:szCs w:val="28"/>
          <w:lang w:val="uk-UA"/>
        </w:rPr>
        <w:t>Два чоботи пара (</w:t>
      </w:r>
      <w:r>
        <w:rPr>
          <w:i/>
          <w:sz w:val="28"/>
          <w:szCs w:val="28"/>
          <w:lang w:val="uk-UA"/>
        </w:rPr>
        <w:t>Нар. творч.)</w:t>
      </w:r>
    </w:p>
    <w:p w:rsidR="00C60C60" w:rsidRDefault="00C60C60" w:rsidP="00C60C60">
      <w:pPr>
        <w:pStyle w:val="a5"/>
        <w:numPr>
          <w:ilvl w:val="0"/>
          <w:numId w:val="1"/>
        </w:numPr>
        <w:spacing w:after="160"/>
        <w:ind w:left="567"/>
        <w:rPr>
          <w:sz w:val="28"/>
          <w:szCs w:val="28"/>
          <w:lang w:val="uk-UA"/>
        </w:rPr>
      </w:pPr>
      <w:r>
        <w:rPr>
          <w:i/>
          <w:sz w:val="28"/>
          <w:szCs w:val="28"/>
          <w:lang w:val="uk-UA"/>
        </w:rPr>
        <w:t>Поширити й ускладнити дані речення</w:t>
      </w:r>
    </w:p>
    <w:p w:rsidR="00C60C60" w:rsidRDefault="00C60C60" w:rsidP="00C60C60">
      <w:pPr>
        <w:pStyle w:val="a5"/>
        <w:numPr>
          <w:ilvl w:val="0"/>
          <w:numId w:val="3"/>
        </w:numPr>
        <w:spacing w:after="160"/>
        <w:ind w:left="567" w:hanging="1201"/>
        <w:rPr>
          <w:sz w:val="28"/>
          <w:szCs w:val="28"/>
          <w:lang w:val="uk-UA"/>
        </w:rPr>
      </w:pPr>
      <w:r>
        <w:rPr>
          <w:sz w:val="28"/>
          <w:szCs w:val="28"/>
          <w:lang w:val="uk-UA"/>
        </w:rPr>
        <w:t xml:space="preserve">      Прочитати речення, визначити однорідні члени та узагальнювальні слова при них. Перепишіть. Однорідні члени речення підкресліть, узагальнювальні слова (словосполучення) при них виділіть рамкою. Обґрунтуйте вживання розділових знаків. Поясніть правопис слів.</w:t>
      </w:r>
    </w:p>
    <w:p w:rsidR="00C60C60" w:rsidRDefault="00C60C60" w:rsidP="00C60C60">
      <w:pPr>
        <w:ind w:left="567"/>
        <w:rPr>
          <w:rFonts w:ascii="Times New Roman" w:hAnsi="Times New Roman" w:cs="Times New Roman"/>
          <w:sz w:val="28"/>
          <w:szCs w:val="28"/>
          <w:lang w:val="uk-UA"/>
        </w:rPr>
      </w:pPr>
      <w:r>
        <w:rPr>
          <w:rFonts w:ascii="Times New Roman" w:hAnsi="Times New Roman" w:cs="Times New Roman"/>
          <w:sz w:val="28"/>
          <w:szCs w:val="28"/>
          <w:lang w:val="uk-UA"/>
        </w:rPr>
        <w:t>Поетами були всі великі українці: полководець Хмельницький, філософ Сковорода, письменник Шевченко (</w:t>
      </w:r>
      <w:r>
        <w:rPr>
          <w:rFonts w:ascii="Times New Roman" w:hAnsi="Times New Roman" w:cs="Times New Roman"/>
          <w:i/>
          <w:sz w:val="28"/>
          <w:szCs w:val="28"/>
          <w:lang w:val="uk-UA"/>
        </w:rPr>
        <w:t>П. Загребельний</w:t>
      </w:r>
      <w:r>
        <w:rPr>
          <w:rFonts w:ascii="Times New Roman" w:hAnsi="Times New Roman" w:cs="Times New Roman"/>
          <w:sz w:val="28"/>
          <w:szCs w:val="28"/>
          <w:lang w:val="uk-UA"/>
        </w:rPr>
        <w:t>). Має Україна дуже різних дітей: і Лесю Українку, і Кармелюка, і яничар, і характерників (</w:t>
      </w:r>
      <w:r>
        <w:rPr>
          <w:rFonts w:ascii="Times New Roman" w:hAnsi="Times New Roman" w:cs="Times New Roman"/>
          <w:i/>
          <w:sz w:val="28"/>
          <w:szCs w:val="28"/>
          <w:lang w:val="uk-UA"/>
        </w:rPr>
        <w:t>П. Гірник</w:t>
      </w:r>
      <w:r>
        <w:rPr>
          <w:rFonts w:ascii="Times New Roman" w:hAnsi="Times New Roman" w:cs="Times New Roman"/>
          <w:sz w:val="28"/>
          <w:szCs w:val="28"/>
          <w:lang w:val="uk-UA"/>
        </w:rPr>
        <w:t>). Кирила Стеценка, Миколу Леонтовича, Якова Степового- таких талановитих учнів мав Микола Віталійович Лисенко (</w:t>
      </w:r>
      <w:r>
        <w:rPr>
          <w:rFonts w:ascii="Times New Roman" w:hAnsi="Times New Roman" w:cs="Times New Roman"/>
          <w:i/>
          <w:sz w:val="28"/>
          <w:szCs w:val="28"/>
          <w:lang w:val="uk-UA"/>
        </w:rPr>
        <w:t>З журн</w:t>
      </w:r>
      <w:r>
        <w:rPr>
          <w:rFonts w:ascii="Times New Roman" w:hAnsi="Times New Roman" w:cs="Times New Roman"/>
          <w:sz w:val="28"/>
          <w:szCs w:val="28"/>
          <w:lang w:val="uk-UA"/>
        </w:rPr>
        <w:t>.). Викурюй у собі все погане: слабодухість, безхребетність, безпам</w:t>
      </w:r>
      <w:r>
        <w:rPr>
          <w:rFonts w:ascii="Times New Roman" w:hAnsi="Times New Roman" w:cs="Times New Roman"/>
          <w:sz w:val="28"/>
          <w:szCs w:val="28"/>
        </w:rPr>
        <w:t>’</w:t>
      </w:r>
      <w:r>
        <w:rPr>
          <w:rFonts w:ascii="Times New Roman" w:hAnsi="Times New Roman" w:cs="Times New Roman"/>
          <w:sz w:val="28"/>
          <w:szCs w:val="28"/>
          <w:lang w:val="uk-UA"/>
        </w:rPr>
        <w:t>ятство (</w:t>
      </w:r>
      <w:r>
        <w:rPr>
          <w:rFonts w:ascii="Times New Roman" w:hAnsi="Times New Roman" w:cs="Times New Roman"/>
          <w:i/>
          <w:sz w:val="28"/>
          <w:szCs w:val="28"/>
          <w:lang w:val="uk-UA"/>
        </w:rPr>
        <w:t>Р. Доценко</w:t>
      </w:r>
      <w:r>
        <w:rPr>
          <w:rFonts w:ascii="Times New Roman" w:hAnsi="Times New Roman" w:cs="Times New Roman"/>
          <w:sz w:val="28"/>
          <w:szCs w:val="28"/>
          <w:lang w:val="uk-UA"/>
        </w:rPr>
        <w:t>). Щастя- це трикутник, а в нім три боки: віра, надія, любов (</w:t>
      </w:r>
      <w:r>
        <w:rPr>
          <w:rFonts w:ascii="Times New Roman" w:hAnsi="Times New Roman" w:cs="Times New Roman"/>
          <w:i/>
          <w:sz w:val="28"/>
          <w:szCs w:val="28"/>
          <w:lang w:val="uk-UA"/>
        </w:rPr>
        <w:t>С. Алексеєєв</w:t>
      </w:r>
      <w:r>
        <w:rPr>
          <w:rFonts w:ascii="Times New Roman" w:hAnsi="Times New Roman" w:cs="Times New Roman"/>
          <w:sz w:val="28"/>
          <w:szCs w:val="28"/>
          <w:lang w:val="uk-UA"/>
        </w:rPr>
        <w:t>). Найяскравіший вияв безсмертя народу- це поєднання двох стихій: сліз і сміху, трагічного й комічного, болю й надії (</w:t>
      </w:r>
      <w:r>
        <w:rPr>
          <w:rFonts w:ascii="Times New Roman" w:hAnsi="Times New Roman" w:cs="Times New Roman"/>
          <w:i/>
          <w:sz w:val="28"/>
          <w:szCs w:val="28"/>
          <w:lang w:val="uk-UA"/>
        </w:rPr>
        <w:t>П. Загребельний</w:t>
      </w:r>
      <w:r>
        <w:rPr>
          <w:rFonts w:ascii="Times New Roman" w:hAnsi="Times New Roman" w:cs="Times New Roman"/>
          <w:sz w:val="28"/>
          <w:szCs w:val="28"/>
          <w:lang w:val="uk-UA"/>
        </w:rPr>
        <w:t xml:space="preserve">). </w:t>
      </w:r>
    </w:p>
    <w:p w:rsidR="00C60C60" w:rsidRDefault="00C60C60" w:rsidP="00C60C60">
      <w:pPr>
        <w:ind w:left="567"/>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 : підготуватись до контрольної роботи ,повторити правопис службових частин мови.</w:t>
      </w:r>
    </w:p>
    <w:p w:rsidR="00D505A4" w:rsidRDefault="00D505A4"/>
    <w:sectPr w:rsidR="00D505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170B"/>
    <w:multiLevelType w:val="hybridMultilevel"/>
    <w:tmpl w:val="9452B9A2"/>
    <w:lvl w:ilvl="0" w:tplc="58007360">
      <w:start w:val="3"/>
      <w:numFmt w:val="bullet"/>
      <w:lvlText w:val="-"/>
      <w:lvlJc w:val="left"/>
      <w:pPr>
        <w:ind w:left="144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A150680"/>
    <w:multiLevelType w:val="hybridMultilevel"/>
    <w:tmpl w:val="58566B9E"/>
    <w:lvl w:ilvl="0" w:tplc="04190001">
      <w:start w:val="1"/>
      <w:numFmt w:val="bullet"/>
      <w:lvlText w:val=""/>
      <w:lvlJc w:val="left"/>
      <w:pPr>
        <w:ind w:left="765"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E697DA5"/>
    <w:multiLevelType w:val="hybridMultilevel"/>
    <w:tmpl w:val="A24004D8"/>
    <w:lvl w:ilvl="0" w:tplc="0419000B">
      <w:start w:val="1"/>
      <w:numFmt w:val="bullet"/>
      <w:lvlText w:val=""/>
      <w:lvlJc w:val="left"/>
      <w:pPr>
        <w:ind w:left="1485"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C60C60"/>
    <w:rsid w:val="00C60C60"/>
    <w:rsid w:val="00D505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C60C60"/>
    <w:rPr>
      <w:color w:val="0000FF"/>
      <w:u w:val="single"/>
    </w:rPr>
  </w:style>
  <w:style w:type="paragraph" w:styleId="a4">
    <w:name w:val="Normal (Web)"/>
    <w:basedOn w:val="a"/>
    <w:uiPriority w:val="99"/>
    <w:unhideWhenUsed/>
    <w:rsid w:val="00C60C60"/>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99"/>
    <w:qFormat/>
    <w:rsid w:val="00C60C60"/>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a0"/>
    <w:rsid w:val="00C60C60"/>
  </w:style>
</w:styles>
</file>

<file path=word/webSettings.xml><?xml version="1.0" encoding="utf-8"?>
<w:webSettings xmlns:r="http://schemas.openxmlformats.org/officeDocument/2006/relationships" xmlns:w="http://schemas.openxmlformats.org/wordprocessingml/2006/main">
  <w:divs>
    <w:div w:id="170787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zhu.edu.ua/mk_school/mod/folder/view.php?id=160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2023-04-15T11:56:00Z</dcterms:created>
  <dcterms:modified xsi:type="dcterms:W3CDTF">2023-04-15T11:56:00Z</dcterms:modified>
</cp:coreProperties>
</file>