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Враження від перегляду кінофільму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r>
        <w:t>Are you a cinema goer? Answer these questions and then make your classmates</w:t>
      </w:r>
    </w:p>
    <w:p>
      <w:r>
        <w:t>guess if you are a cinema-goer or not.</w:t>
      </w:r>
    </w:p>
    <w:p>
      <w:r>
        <w:t>1. How often do you go to the cinema?</w:t>
      </w:r>
    </w:p>
    <w:p>
      <w:r>
        <w:t>2. What kinds of films are you interested in?</w:t>
      </w:r>
    </w:p>
    <w:p>
      <w:r>
        <w:t>3. What kinds of films don’t you like? Why?</w:t>
      </w:r>
    </w:p>
    <w:p>
      <w:r>
        <w:t>4. Do you have a favourite actor?</w:t>
      </w:r>
    </w:p>
    <w:p>
      <w:r>
        <w:t>5. Who’s you favourite actress?</w:t>
      </w:r>
    </w:p>
    <w:p>
      <w:r>
        <w:t>6. What’s one of the best films you have ever seen?</w:t>
      </w:r>
    </w:p>
    <w:p>
      <w:r>
        <w:t>7. What film did you see most recently?</w:t>
      </w:r>
    </w:p>
    <w:p>
      <w:pPr>
        <w:rPr>
          <w:rFonts w:cs="Times New Roman"/>
          <w:b/>
          <w:bCs/>
          <w:i/>
          <w:iCs/>
          <w:szCs w:val="28"/>
          <w:highlight w:val="yellow"/>
          <w:lang w:val="en-US"/>
        </w:rPr>
      </w:pP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«Зворотні займенники | Reflexive Pronouns»</w:t>
      </w:r>
    </w:p>
    <w:p>
      <w:pPr>
        <w:spacing w:line="276" w:lineRule="auto"/>
        <w:rPr>
          <w:lang w:val="uk-UA"/>
        </w:rPr>
      </w:pPr>
      <w:r>
        <w:fldChar w:fldCharType="begin"/>
      </w:r>
      <w:r>
        <w:instrText xml:space="preserve"> HYPERLINK "https://www.youtube.com/watch?v=EyguXb0bh88" </w:instrText>
      </w:r>
      <w:r>
        <w:fldChar w:fldCharType="separate"/>
      </w:r>
      <w:r>
        <w:rPr>
          <w:rStyle w:val="4"/>
          <w:lang w:val="uk-UA"/>
        </w:rPr>
        <w:t>https://www.youtube.com/watch?v=EyguXb0bh88</w:t>
      </w:r>
      <w:r>
        <w:rPr>
          <w:rStyle w:val="4"/>
          <w:lang w:val="uk-UA"/>
        </w:rPr>
        <w:fldChar w:fldCharType="end"/>
      </w:r>
    </w:p>
    <w:p>
      <w:pPr>
        <w:rPr>
          <w:b/>
          <w:bCs/>
          <w:i/>
          <w:iCs/>
          <w:szCs w:val="28"/>
          <w:highlight w:val="yellow"/>
          <w:lang w:val="uk-UA"/>
        </w:rPr>
      </w:pPr>
    </w:p>
    <w:p>
      <w:pPr>
        <w:rPr>
          <w:b/>
          <w:bCs/>
          <w:i/>
          <w:iCs/>
          <w:szCs w:val="28"/>
          <w:highlight w:val="yellow"/>
          <w:lang w:val="uk-UA"/>
        </w:rPr>
      </w:pP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 xml:space="preserve">4. </w:t>
      </w:r>
      <w:r>
        <w:rPr>
          <w:b/>
          <w:bCs/>
          <w:i/>
          <w:iCs/>
          <w:szCs w:val="28"/>
          <w:highlight w:val="yellow"/>
          <w:lang w:val="en-US"/>
        </w:rPr>
        <w:t>Grammar</w:t>
      </w:r>
    </w:p>
    <w:p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Зворотні займенники в англійській мові</w:t>
      </w:r>
      <w:r>
        <w:rPr>
          <w:rFonts w:eastAsia="Times New Roman" w:cs="Times New Roman"/>
          <w:szCs w:val="28"/>
          <w:lang w:eastAsia="ru-RU"/>
        </w:rPr>
        <w:t xml:space="preserve"> утворюються від присвійних займенників з додаванням частки </w:t>
      </w:r>
      <w:r>
        <w:rPr>
          <w:rFonts w:eastAsia="Times New Roman" w:cs="Times New Roman"/>
          <w:b/>
          <w:bCs/>
          <w:szCs w:val="28"/>
          <w:lang w:eastAsia="ru-RU"/>
        </w:rPr>
        <w:t>–self</w:t>
      </w:r>
      <w:r>
        <w:rPr>
          <w:rFonts w:eastAsia="Times New Roman" w:cs="Times New Roman"/>
          <w:szCs w:val="28"/>
          <w:lang w:eastAsia="ru-RU"/>
        </w:rPr>
        <w:t xml:space="preserve"> для однини і </w:t>
      </w:r>
      <w:r>
        <w:rPr>
          <w:rFonts w:eastAsia="Times New Roman" w:cs="Times New Roman"/>
          <w:b/>
          <w:bCs/>
          <w:szCs w:val="28"/>
          <w:lang w:eastAsia="ru-RU"/>
        </w:rPr>
        <w:t>–selves</w:t>
      </w:r>
      <w:r>
        <w:rPr>
          <w:rFonts w:eastAsia="Times New Roman" w:cs="Times New Roman"/>
          <w:szCs w:val="28"/>
          <w:lang w:eastAsia="ru-RU"/>
        </w:rPr>
        <w:t xml:space="preserve"> для множинного.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2532"/>
        <w:gridCol w:w="2843"/>
      </w:tblGrid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Особисте займенник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Присвійний займенник</w:t>
            </w:r>
          </w:p>
        </w:tc>
      </w:tr>
      <w:tr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Єдине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br w:type="textWrapping"/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кількість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myself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yourself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himself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She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herself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It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itself</w:t>
            </w:r>
          </w:p>
        </w:tc>
      </w:tr>
      <w:tr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Множинне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br w:type="textWrapping"/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кількість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We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ourselves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yourselves</w:t>
            </w:r>
          </w:p>
        </w:tc>
      </w:tr>
      <w:tr>
        <w:trPr>
          <w:tblCellSpacing w:w="15" w:type="dxa"/>
        </w:trPr>
        <w:tc>
          <w:tcPr>
            <w:tcW w:w="0" w:type="auto"/>
            <w:vMerge w:val="continue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They</w:t>
            </w:r>
          </w:p>
        </w:tc>
        <w:tc>
          <w:tcPr>
            <w:tcW w:w="0" w:type="auto"/>
            <w:vAlign w:val="center"/>
          </w:tcPr>
          <w:p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themselves</w:t>
            </w:r>
          </w:p>
        </w:tc>
      </w:tr>
    </w:tbl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Англійські зворотні займенники</w:t>
      </w:r>
      <w:r>
        <w:rPr>
          <w:rFonts w:eastAsia="Times New Roman" w:cs="Times New Roman"/>
          <w:szCs w:val="28"/>
          <w:lang w:eastAsia="ru-RU"/>
        </w:rPr>
        <w:t xml:space="preserve"> використовуються, коли підмет і додаток у реченні є одним і тим же особою, або, іншими словами, коли дія звернено на самого себе.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Наприклад: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b/>
          <w:bCs/>
          <w:szCs w:val="28"/>
          <w:lang w:eastAsia="ru-RU"/>
        </w:rPr>
        <w:t>Alice</w:t>
      </w:r>
      <w:r>
        <w:rPr>
          <w:rFonts w:eastAsia="Times New Roman" w:cs="Times New Roman"/>
          <w:szCs w:val="28"/>
          <w:lang w:eastAsia="ru-RU"/>
        </w:rPr>
        <w:t xml:space="preserve"> saw </w:t>
      </w:r>
      <w:r>
        <w:rPr>
          <w:rFonts w:eastAsia="Times New Roman" w:cs="Times New Roman"/>
          <w:b/>
          <w:bCs/>
          <w:szCs w:val="28"/>
          <w:lang w:eastAsia="ru-RU"/>
        </w:rPr>
        <w:t>herself</w:t>
      </w:r>
      <w:r>
        <w:rPr>
          <w:rFonts w:eastAsia="Times New Roman" w:cs="Times New Roman"/>
          <w:szCs w:val="28"/>
          <w:lang w:eastAsia="ru-RU"/>
        </w:rPr>
        <w:t xml:space="preserve"> in the mirror.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i/>
          <w:iCs/>
          <w:szCs w:val="28"/>
          <w:lang w:eastAsia="ru-RU"/>
        </w:rPr>
        <w:t>Еліс</w:t>
      </w:r>
      <w:r>
        <w:rPr>
          <w:rFonts w:eastAsia="Times New Roman" w:cs="Times New Roman"/>
          <w:szCs w:val="28"/>
          <w:lang w:eastAsia="ru-RU"/>
        </w:rPr>
        <w:t xml:space="preserve"> побачила </w:t>
      </w:r>
      <w:r>
        <w:rPr>
          <w:rFonts w:eastAsia="Times New Roman" w:cs="Times New Roman"/>
          <w:i/>
          <w:iCs/>
          <w:szCs w:val="28"/>
          <w:lang w:eastAsia="ru-RU"/>
        </w:rPr>
        <w:t>себе</w:t>
      </w:r>
      <w:r>
        <w:rPr>
          <w:rFonts w:eastAsia="Times New Roman" w:cs="Times New Roman"/>
          <w:szCs w:val="28"/>
          <w:lang w:eastAsia="ru-RU"/>
        </w:rPr>
        <w:t xml:space="preserve"> в дзеркало.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b/>
          <w:bCs/>
          <w:szCs w:val="28"/>
          <w:lang w:eastAsia="ru-RU"/>
        </w:rPr>
        <w:t>John</w:t>
      </w:r>
      <w:r>
        <w:rPr>
          <w:rFonts w:eastAsia="Times New Roman" w:cs="Times New Roman"/>
          <w:szCs w:val="28"/>
          <w:lang w:eastAsia="ru-RU"/>
        </w:rPr>
        <w:t xml:space="preserve"> doesn't know what to do with </w:t>
      </w:r>
      <w:r>
        <w:rPr>
          <w:rFonts w:eastAsia="Times New Roman" w:cs="Times New Roman"/>
          <w:b/>
          <w:bCs/>
          <w:szCs w:val="28"/>
          <w:lang w:eastAsia="ru-RU"/>
        </w:rPr>
        <w:t>himself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i/>
          <w:iCs/>
          <w:szCs w:val="28"/>
          <w:lang w:eastAsia="ru-RU"/>
        </w:rPr>
        <w:t>Джон</w:t>
      </w:r>
      <w:r>
        <w:rPr>
          <w:rFonts w:eastAsia="Times New Roman" w:cs="Times New Roman"/>
          <w:szCs w:val="28"/>
          <w:lang w:eastAsia="ru-RU"/>
        </w:rPr>
        <w:t xml:space="preserve"> не знає, що з </w:t>
      </w:r>
      <w:r>
        <w:rPr>
          <w:rFonts w:eastAsia="Times New Roman" w:cs="Times New Roman"/>
          <w:i/>
          <w:iCs/>
          <w:szCs w:val="28"/>
          <w:lang w:eastAsia="ru-RU"/>
        </w:rPr>
        <w:t>собою</w:t>
      </w:r>
      <w:r>
        <w:rPr>
          <w:rFonts w:eastAsia="Times New Roman" w:cs="Times New Roman"/>
          <w:szCs w:val="28"/>
          <w:lang w:eastAsia="ru-RU"/>
        </w:rPr>
        <w:t xml:space="preserve"> вдіяти. 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українською мовою зворотність може передаватися часткою дієслова </w:t>
      </w:r>
      <w:r>
        <w:rPr>
          <w:rFonts w:eastAsia="Times New Roman" w:cs="Times New Roman"/>
          <w:b/>
          <w:bCs/>
          <w:szCs w:val="28"/>
          <w:lang w:eastAsia="ru-RU"/>
        </w:rPr>
        <w:t>–ся</w:t>
      </w:r>
      <w:r>
        <w:rPr>
          <w:rFonts w:eastAsia="Times New Roman" w:cs="Times New Roman"/>
          <w:szCs w:val="28"/>
          <w:lang w:eastAsia="ru-RU"/>
        </w:rPr>
        <w:t xml:space="preserve"> або </w:t>
      </w:r>
      <w:r>
        <w:rPr>
          <w:rFonts w:eastAsia="Times New Roman" w:cs="Times New Roman"/>
          <w:b/>
          <w:bCs/>
          <w:szCs w:val="28"/>
          <w:lang w:eastAsia="ru-RU"/>
        </w:rPr>
        <w:t>–сь</w:t>
      </w:r>
      <w:r>
        <w:rPr>
          <w:rFonts w:eastAsia="Times New Roman" w:cs="Times New Roman"/>
          <w:szCs w:val="28"/>
          <w:lang w:eastAsia="ru-RU"/>
        </w:rPr>
        <w:t>: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We had to </w:t>
      </w:r>
      <w:r>
        <w:rPr>
          <w:rFonts w:eastAsia="Times New Roman" w:cs="Times New Roman"/>
          <w:b/>
          <w:bCs/>
          <w:szCs w:val="28"/>
          <w:lang w:eastAsia="ru-RU"/>
        </w:rPr>
        <w:t>explain ourselves</w:t>
      </w:r>
      <w:r>
        <w:rPr>
          <w:rFonts w:eastAsia="Times New Roman" w:cs="Times New Roman"/>
          <w:szCs w:val="28"/>
          <w:lang w:eastAsia="ru-RU"/>
        </w:rPr>
        <w:t xml:space="preserve"> to the teacher.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Нам довелося </w:t>
      </w:r>
      <w:r>
        <w:rPr>
          <w:rFonts w:eastAsia="Times New Roman" w:cs="Times New Roman"/>
          <w:i/>
          <w:iCs/>
          <w:szCs w:val="28"/>
          <w:lang w:eastAsia="ru-RU"/>
        </w:rPr>
        <w:t>порозумітися</w:t>
      </w:r>
      <w:r>
        <w:rPr>
          <w:rFonts w:eastAsia="Times New Roman" w:cs="Times New Roman"/>
          <w:szCs w:val="28"/>
          <w:lang w:eastAsia="ru-RU"/>
        </w:rPr>
        <w:t xml:space="preserve"> перед учителем. 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Крім того, зворотні займенники в англійській мові можуть використовуватися для того, щоб підкреслити, що дія виконується самостійно, без сторонньої допомоги.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Наприклад: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She </w:t>
      </w:r>
      <w:r>
        <w:rPr>
          <w:rFonts w:eastAsia="Times New Roman" w:cs="Times New Roman"/>
          <w:b/>
          <w:bCs/>
          <w:szCs w:val="28"/>
          <w:lang w:eastAsia="ru-RU"/>
        </w:rPr>
        <w:t>herself</w:t>
      </w:r>
      <w:r>
        <w:rPr>
          <w:rFonts w:eastAsia="Times New Roman" w:cs="Times New Roman"/>
          <w:szCs w:val="28"/>
          <w:lang w:eastAsia="ru-RU"/>
        </w:rPr>
        <w:t xml:space="preserve"> admitted her mistake.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Вона </w:t>
      </w:r>
      <w:r>
        <w:rPr>
          <w:rFonts w:eastAsia="Times New Roman" w:cs="Times New Roman"/>
          <w:i/>
          <w:iCs/>
          <w:szCs w:val="28"/>
          <w:lang w:eastAsia="ru-RU"/>
        </w:rPr>
        <w:t>сама</w:t>
      </w:r>
      <w:r>
        <w:rPr>
          <w:rFonts w:eastAsia="Times New Roman" w:cs="Times New Roman"/>
          <w:szCs w:val="28"/>
          <w:lang w:eastAsia="ru-RU"/>
        </w:rPr>
        <w:t xml:space="preserve"> визнала свою помилку.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The manager spoke to me </w:t>
      </w:r>
      <w:r>
        <w:rPr>
          <w:rFonts w:eastAsia="Times New Roman" w:cs="Times New Roman"/>
          <w:b/>
          <w:bCs/>
          <w:szCs w:val="28"/>
          <w:lang w:eastAsia="ru-RU"/>
        </w:rPr>
        <w:t>himself</w:t>
      </w:r>
      <w:r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br w:type="textWrapping"/>
      </w:r>
      <w:r>
        <w:rPr>
          <w:rFonts w:eastAsia="Times New Roman" w:cs="Times New Roman"/>
          <w:szCs w:val="28"/>
          <w:lang w:eastAsia="ru-RU"/>
        </w:rPr>
        <w:t xml:space="preserve">Менеджер </w:t>
      </w:r>
      <w:r>
        <w:rPr>
          <w:rFonts w:eastAsia="Times New Roman" w:cs="Times New Roman"/>
          <w:i/>
          <w:iCs/>
          <w:szCs w:val="28"/>
          <w:lang w:eastAsia="ru-RU"/>
        </w:rPr>
        <w:t>сам</w:t>
      </w:r>
      <w:r>
        <w:rPr>
          <w:rFonts w:eastAsia="Times New Roman" w:cs="Times New Roman"/>
          <w:szCs w:val="28"/>
          <w:lang w:eastAsia="ru-RU"/>
        </w:rPr>
        <w:t xml:space="preserve"> поговорив зі мною.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2 page 147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37623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148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діалог про похід до театру.</w:t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4629150" cy="4250690"/>
            <wp:effectExtent l="0" t="0" r="1905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  <w:bCs/>
          <w:i/>
          <w:iCs/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fourth of April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1</w:t>
      </w:r>
      <w:r>
        <w:rPr>
          <w:b/>
          <w:bCs/>
          <w:i/>
          <w:iCs/>
          <w:lang w:val="en-US"/>
        </w:rPr>
        <w:t xml:space="preserve"> page 14</w:t>
      </w:r>
      <w:r>
        <w:rPr>
          <w:b/>
          <w:bCs/>
          <w:i/>
          <w:iCs/>
          <w:lang w:val="uk-UA"/>
        </w:rPr>
        <w:t>9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 за прочитаним текстом.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26479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8.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вивчити правило;</w:t>
      </w:r>
    </w:p>
    <w:p>
      <w:pPr>
        <w:spacing w:after="0"/>
        <w:rPr>
          <w:lang w:val="uk-UA"/>
        </w:rPr>
      </w:pPr>
      <w:r>
        <w:rPr>
          <w:lang w:val="uk-UA"/>
        </w:rPr>
        <w:t>2. Виконати письмово Ex. 1 page 149.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b/>
          <w:bCs/>
          <w:i/>
          <w:iCs/>
          <w:lang w:val="uk-UA"/>
        </w:rPr>
      </w:pPr>
      <w:bookmarkStart w:id="0" w:name="_GoBack"/>
      <w:bookmarkEnd w:id="0"/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D53F5330"/>
    <w:rsid w:val="EAD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customStyle="1" w:styleId="7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2023-03-23T21:29:00Z</dcterms:created>
  <dc:creator>Людмила Глуговская</dc:creator>
  <cp:lastModifiedBy>Людмила «Григорьевна»</cp:lastModifiedBy>
  <dcterms:modified xsi:type="dcterms:W3CDTF">2024-04-03T21:34:09Z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